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45" w:rsidRPr="003D45B0" w:rsidRDefault="00856DDC" w:rsidP="00856DDC">
      <w:pPr>
        <w:jc w:val="center"/>
        <w:rPr>
          <w:sz w:val="24"/>
          <w:lang w:val="nl-BE"/>
        </w:rPr>
      </w:pPr>
      <w:r w:rsidRPr="003D45B0">
        <w:rPr>
          <w:noProof/>
          <w:sz w:val="24"/>
        </w:rPr>
        <w:drawing>
          <wp:inline distT="0" distB="0" distL="0" distR="0" wp14:anchorId="6593890C" wp14:editId="67FD79CF">
            <wp:extent cx="5972810" cy="2518655"/>
            <wp:effectExtent l="0" t="0" r="8890" b="0"/>
            <wp:docPr id="1" name="Picture 1" descr="http://www.eahp.eu/sites/default/files/images/LogoESH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hp.eu/sites/default/files/images/LogoESH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2518655"/>
                    </a:xfrm>
                    <a:prstGeom prst="rect">
                      <a:avLst/>
                    </a:prstGeom>
                    <a:noFill/>
                    <a:ln>
                      <a:noFill/>
                    </a:ln>
                  </pic:spPr>
                </pic:pic>
              </a:graphicData>
            </a:graphic>
          </wp:inline>
        </w:drawing>
      </w:r>
    </w:p>
    <w:p w:rsidR="00856DDC" w:rsidRPr="003D45B0" w:rsidRDefault="00420850" w:rsidP="00856DDC">
      <w:pPr>
        <w:jc w:val="center"/>
        <w:rPr>
          <w:b/>
          <w:i/>
          <w:sz w:val="32"/>
        </w:rPr>
      </w:pPr>
      <w:r w:rsidRPr="003D45B0">
        <w:rPr>
          <w:b/>
          <w:i/>
          <w:noProof/>
          <w:sz w:val="32"/>
        </w:rPr>
        <mc:AlternateContent>
          <mc:Choice Requires="wps">
            <w:drawing>
              <wp:anchor distT="0" distB="0" distL="114300" distR="114300" simplePos="0" relativeHeight="251659264" behindDoc="0" locked="0" layoutInCell="1" allowOverlap="1" wp14:anchorId="7BC39BD7" wp14:editId="1A3E885C">
                <wp:simplePos x="0" y="0"/>
                <wp:positionH relativeFrom="column">
                  <wp:align>center</wp:align>
                </wp:positionH>
                <wp:positionV relativeFrom="paragraph">
                  <wp:posOffset>0</wp:posOffset>
                </wp:positionV>
                <wp:extent cx="5476875" cy="1066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66800"/>
                        </a:xfrm>
                        <a:prstGeom prst="rect">
                          <a:avLst/>
                        </a:prstGeom>
                        <a:solidFill>
                          <a:schemeClr val="tx2">
                            <a:lumMod val="60000"/>
                            <a:lumOff val="40000"/>
                          </a:schemeClr>
                        </a:solidFill>
                        <a:ln w="9525">
                          <a:solidFill>
                            <a:srgbClr val="000000"/>
                          </a:solidFill>
                          <a:miter lim="800000"/>
                          <a:headEnd/>
                          <a:tailEnd/>
                        </a:ln>
                      </wps:spPr>
                      <wps:txbx>
                        <w:txbxContent>
                          <w:p w:rsidR="00420850" w:rsidRPr="00420850" w:rsidRDefault="00420850" w:rsidP="00420850">
                            <w:pPr>
                              <w:jc w:val="center"/>
                              <w:rPr>
                                <w:b/>
                                <w:i/>
                                <w:sz w:val="24"/>
                              </w:rPr>
                            </w:pPr>
                            <w:r w:rsidRPr="00420850">
                              <w:rPr>
                                <w:b/>
                                <w:i/>
                                <w:sz w:val="24"/>
                              </w:rPr>
                              <w:t xml:space="preserve">Commencement of the Delphi process consultation with EAHP Member Associations and </w:t>
                            </w:r>
                            <w:proofErr w:type="spellStart"/>
                            <w:r w:rsidRPr="00420850">
                              <w:rPr>
                                <w:b/>
                                <w:i/>
                                <w:sz w:val="24"/>
                              </w:rPr>
                              <w:t>organisations</w:t>
                            </w:r>
                            <w:proofErr w:type="spellEnd"/>
                            <w:r w:rsidRPr="00420850">
                              <w:rPr>
                                <w:b/>
                                <w:i/>
                                <w:sz w:val="24"/>
                              </w:rPr>
                              <w:t xml:space="preserve"> representing the patient and healthcare professional perspective</w:t>
                            </w:r>
                          </w:p>
                          <w:p w:rsidR="00420850" w:rsidRPr="00420850" w:rsidRDefault="00420850" w:rsidP="00420850">
                            <w:pPr>
                              <w:jc w:val="center"/>
                              <w:rPr>
                                <w:b/>
                                <w:i/>
                                <w:sz w:val="24"/>
                              </w:rPr>
                            </w:pPr>
                            <w:r w:rsidRPr="00420850">
                              <w:rPr>
                                <w:b/>
                                <w:i/>
                                <w:sz w:val="24"/>
                              </w:rPr>
                              <w:t>November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1.25pt;height: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" fillcolor="#548dd4 [1951]">
                <v:textbox>
                  <w:txbxContent>
                    <w:p w:rsidR="00420850" w:rsidRPr="00420850" w:rsidRDefault="00420850" w:rsidP="00420850">
                      <w:pPr>
                        <w:jc w:val="center"/>
                        <w:rPr>
                          <w:b/>
                          <w:i/>
                          <w:sz w:val="24"/>
                        </w:rPr>
                      </w:pPr>
                      <w:r w:rsidRPr="00420850">
                        <w:rPr>
                          <w:b/>
                          <w:i/>
                          <w:sz w:val="24"/>
                        </w:rPr>
                        <w:t>C</w:t>
                      </w:r>
                      <w:r w:rsidRPr="00420850">
                        <w:rPr>
                          <w:b/>
                          <w:i/>
                          <w:sz w:val="24"/>
                        </w:rPr>
                        <w:t xml:space="preserve">ommencement of the Delphi process consultation with EAHP Member Associations and </w:t>
                      </w:r>
                      <w:proofErr w:type="spellStart"/>
                      <w:r w:rsidRPr="00420850">
                        <w:rPr>
                          <w:b/>
                          <w:i/>
                          <w:sz w:val="24"/>
                        </w:rPr>
                        <w:t>organisations</w:t>
                      </w:r>
                      <w:proofErr w:type="spellEnd"/>
                      <w:r w:rsidRPr="00420850">
                        <w:rPr>
                          <w:b/>
                          <w:i/>
                          <w:sz w:val="24"/>
                        </w:rPr>
                        <w:t xml:space="preserve"> representing the patient and healthcare professional perspective</w:t>
                      </w:r>
                    </w:p>
                    <w:p w:rsidR="00420850" w:rsidRPr="00420850" w:rsidRDefault="00420850" w:rsidP="00420850">
                      <w:pPr>
                        <w:jc w:val="center"/>
                        <w:rPr>
                          <w:b/>
                          <w:i/>
                          <w:sz w:val="24"/>
                        </w:rPr>
                      </w:pPr>
                      <w:r w:rsidRPr="00420850">
                        <w:rPr>
                          <w:b/>
                          <w:i/>
                          <w:sz w:val="24"/>
                        </w:rPr>
                        <w:t>November 2013</w:t>
                      </w:r>
                    </w:p>
                  </w:txbxContent>
                </v:textbox>
              </v:shape>
            </w:pict>
          </mc:Fallback>
        </mc:AlternateContent>
      </w:r>
      <w:r w:rsidR="00856DDC" w:rsidRPr="003D45B0">
        <w:rPr>
          <w:b/>
          <w:i/>
          <w:sz w:val="32"/>
        </w:rPr>
        <w:t xml:space="preserve"> professional perspective</w:t>
      </w:r>
    </w:p>
    <w:p w:rsidR="00856DDC" w:rsidRPr="003D45B0" w:rsidRDefault="00856DDC" w:rsidP="00856DDC">
      <w:pPr>
        <w:jc w:val="center"/>
        <w:rPr>
          <w:b/>
          <w:sz w:val="32"/>
        </w:rPr>
      </w:pPr>
      <w:r w:rsidRPr="003D45B0">
        <w:rPr>
          <w:b/>
          <w:sz w:val="32"/>
        </w:rPr>
        <w:t>November 2013</w:t>
      </w:r>
    </w:p>
    <w:p w:rsidR="00420850" w:rsidRPr="003D45B0" w:rsidRDefault="00420850" w:rsidP="00856DDC">
      <w:pPr>
        <w:rPr>
          <w:sz w:val="32"/>
        </w:rPr>
      </w:pPr>
    </w:p>
    <w:p w:rsidR="00856DDC" w:rsidRPr="003D45B0" w:rsidRDefault="00856DDC" w:rsidP="00856DDC">
      <w:pPr>
        <w:rPr>
          <w:sz w:val="24"/>
        </w:rPr>
      </w:pPr>
      <w:r w:rsidRPr="003D45B0">
        <w:rPr>
          <w:sz w:val="24"/>
        </w:rPr>
        <w:t>This document contains the 48 Draft Statements of hospital pharmacy practice that are proposed to be taken forward as the basis for the European Summit on Hospital Pharmacy (14-15 May).</w:t>
      </w:r>
    </w:p>
    <w:p w:rsidR="00856DDC" w:rsidRPr="003D45B0" w:rsidRDefault="00856DDC" w:rsidP="00856DDC">
      <w:pPr>
        <w:rPr>
          <w:sz w:val="24"/>
        </w:rPr>
      </w:pPr>
      <w:r w:rsidRPr="003D45B0">
        <w:rPr>
          <w:sz w:val="24"/>
        </w:rPr>
        <w:t>These statements take as their basis the 2008 FIP ‘</w:t>
      </w:r>
      <w:hyperlink r:id="rId6" w:history="1">
        <w:r w:rsidRPr="003D45B0">
          <w:rPr>
            <w:rStyle w:val="Hyperlink"/>
            <w:sz w:val="24"/>
          </w:rPr>
          <w:t>Basel Statements’</w:t>
        </w:r>
      </w:hyperlink>
      <w:r w:rsidRPr="003D45B0">
        <w:rPr>
          <w:sz w:val="24"/>
        </w:rPr>
        <w:t xml:space="preserve"> on Global Hospital Pharmacy Practice. From January to September 2013 an EAHP Working Group, made of representatives of the hospital pharmacy profession </w:t>
      </w:r>
      <w:r w:rsidR="00420850" w:rsidRPr="003D45B0">
        <w:rPr>
          <w:sz w:val="24"/>
        </w:rPr>
        <w:t xml:space="preserve">from </w:t>
      </w:r>
      <w:r w:rsidRPr="003D45B0">
        <w:rPr>
          <w:sz w:val="24"/>
        </w:rPr>
        <w:t xml:space="preserve">across Europe, reviewed the Basel Statements for application in the European context and condensed the statements to 48 aspirational goals for hospital pharmacy to achieve in every EAHP member country. </w:t>
      </w:r>
    </w:p>
    <w:p w:rsidR="00856DDC" w:rsidRPr="003D45B0" w:rsidRDefault="00856DDC" w:rsidP="00856DDC">
      <w:pPr>
        <w:rPr>
          <w:sz w:val="24"/>
        </w:rPr>
      </w:pPr>
      <w:r w:rsidRPr="003D45B0">
        <w:rPr>
          <w:sz w:val="24"/>
        </w:rPr>
        <w:t xml:space="preserve">Following a short initial consultation with EAHP members and Summit observer </w:t>
      </w:r>
      <w:proofErr w:type="spellStart"/>
      <w:r w:rsidRPr="003D45B0">
        <w:rPr>
          <w:sz w:val="24"/>
        </w:rPr>
        <w:t>organisations</w:t>
      </w:r>
      <w:proofErr w:type="spellEnd"/>
      <w:r w:rsidRPr="003D45B0">
        <w:rPr>
          <w:sz w:val="24"/>
        </w:rPr>
        <w:t>, the draft statements are now being opened to comment with EAHP members</w:t>
      </w:r>
      <w:r w:rsidR="00420850" w:rsidRPr="003D45B0">
        <w:rPr>
          <w:sz w:val="24"/>
        </w:rPr>
        <w:t xml:space="preserve"> and </w:t>
      </w:r>
      <w:proofErr w:type="spellStart"/>
      <w:r w:rsidR="00420850" w:rsidRPr="003D45B0">
        <w:rPr>
          <w:sz w:val="24"/>
        </w:rPr>
        <w:t>organisations</w:t>
      </w:r>
      <w:proofErr w:type="spellEnd"/>
      <w:r w:rsidR="00420850" w:rsidRPr="003D45B0">
        <w:rPr>
          <w:sz w:val="24"/>
        </w:rPr>
        <w:t xml:space="preserve"> representing the patient and healthcare professional perspective. The Delphi consensus finding method is being used to ensure honest and open feedback, to mitigate against the ‘halo effect’ preventing free exchange of views, and to reduce bias. More information about the process is available via the Summit website here: </w:t>
      </w:r>
      <w:hyperlink r:id="rId7" w:history="1">
        <w:r w:rsidR="00420850" w:rsidRPr="003D45B0">
          <w:rPr>
            <w:rStyle w:val="Hyperlink"/>
            <w:sz w:val="24"/>
          </w:rPr>
          <w:t>http://www.eahp.eu/events/european-summit/summit-documents</w:t>
        </w:r>
      </w:hyperlink>
      <w:r w:rsidR="00420850" w:rsidRPr="003D45B0">
        <w:rPr>
          <w:sz w:val="24"/>
        </w:rPr>
        <w:t xml:space="preserve"> </w:t>
      </w:r>
    </w:p>
    <w:p w:rsidR="00420850" w:rsidRPr="003D45B0" w:rsidRDefault="00420850" w:rsidP="00856DDC">
      <w:pPr>
        <w:rPr>
          <w:sz w:val="24"/>
        </w:rPr>
      </w:pPr>
      <w:r w:rsidRPr="003D45B0">
        <w:rPr>
          <w:sz w:val="24"/>
        </w:rPr>
        <w:t>The final statements will form the long term basis and focus for EAHP’s practice development and benchmarking activity and be a springboard for service improvement and the enhancement of patient care.</w:t>
      </w:r>
      <w:r w:rsidR="00AB563A" w:rsidRPr="003D45B0">
        <w:rPr>
          <w:sz w:val="24"/>
        </w:rPr>
        <w:t xml:space="preserve"> The statements below are draft and subject to consultation.</w:t>
      </w:r>
    </w:p>
    <w:p w:rsidR="00AB563A" w:rsidRPr="003D45B0" w:rsidRDefault="00AB563A" w:rsidP="00AB563A">
      <w:pPr>
        <w:pStyle w:val="Heading1"/>
        <w:rPr>
          <w:color w:val="4F6228" w:themeColor="accent3" w:themeShade="80"/>
          <w:sz w:val="32"/>
        </w:rPr>
      </w:pPr>
      <w:r w:rsidRPr="003D45B0">
        <w:rPr>
          <w:color w:val="4F6228" w:themeColor="accent3" w:themeShade="80"/>
          <w:sz w:val="32"/>
        </w:rPr>
        <w:lastRenderedPageBreak/>
        <w:t>Section 1: Introductory Statements and Governance</w:t>
      </w:r>
    </w:p>
    <w:p w:rsidR="00AB563A" w:rsidRPr="003D45B0" w:rsidRDefault="00AB563A" w:rsidP="00AB563A">
      <w:pPr>
        <w:rPr>
          <w:sz w:val="24"/>
        </w:rPr>
      </w:pPr>
    </w:p>
    <w:tbl>
      <w:tblPr>
        <w:tblStyle w:val="TableGrid"/>
        <w:tblW w:w="10490" w:type="dxa"/>
        <w:tblInd w:w="-459" w:type="dxa"/>
        <w:tblLook w:val="04A0" w:firstRow="1" w:lastRow="0" w:firstColumn="1" w:lastColumn="0" w:noHBand="0" w:noVBand="1"/>
      </w:tblPr>
      <w:tblGrid>
        <w:gridCol w:w="338"/>
        <w:gridCol w:w="10152"/>
      </w:tblGrid>
      <w:tr w:rsidR="00AB563A" w:rsidRPr="003D45B0" w:rsidTr="003D45B0">
        <w:tc>
          <w:tcPr>
            <w:tcW w:w="328" w:type="dxa"/>
          </w:tcPr>
          <w:p w:rsidR="00AB563A" w:rsidRPr="003D45B0" w:rsidRDefault="00AB563A" w:rsidP="00AB563A">
            <w:pPr>
              <w:rPr>
                <w:sz w:val="24"/>
              </w:rPr>
            </w:pPr>
            <w:r w:rsidRPr="003D45B0">
              <w:rPr>
                <w:sz w:val="24"/>
              </w:rPr>
              <w:t>1</w:t>
            </w:r>
          </w:p>
        </w:tc>
        <w:tc>
          <w:tcPr>
            <w:tcW w:w="10162" w:type="dxa"/>
          </w:tcPr>
          <w:p w:rsidR="00AB563A" w:rsidRPr="003D45B0" w:rsidRDefault="00AB563A" w:rsidP="00AB563A">
            <w:pPr>
              <w:rPr>
                <w:sz w:val="24"/>
              </w:rPr>
            </w:pPr>
            <w:r w:rsidRPr="003D45B0">
              <w:rPr>
                <w:b/>
                <w:sz w:val="24"/>
                <w:lang w:val="en-GB"/>
              </w:rPr>
              <w:t>The overarching goal of hospital pharmacists is to optimise patient outcomes through the judicious, safe, efficacious, appropriate, and cost effective use of medicines.</w:t>
            </w:r>
          </w:p>
        </w:tc>
      </w:tr>
      <w:tr w:rsidR="00AB563A" w:rsidRPr="003D45B0" w:rsidTr="003D45B0">
        <w:tc>
          <w:tcPr>
            <w:tcW w:w="328" w:type="dxa"/>
          </w:tcPr>
          <w:p w:rsidR="00AB563A" w:rsidRPr="003D45B0" w:rsidRDefault="00AB563A" w:rsidP="00AB563A">
            <w:pPr>
              <w:rPr>
                <w:sz w:val="24"/>
              </w:rPr>
            </w:pPr>
          </w:p>
        </w:tc>
        <w:tc>
          <w:tcPr>
            <w:tcW w:w="10162" w:type="dxa"/>
          </w:tcPr>
          <w:p w:rsidR="00AB563A" w:rsidRPr="003D45B0" w:rsidRDefault="00AB563A" w:rsidP="00AB563A">
            <w:pPr>
              <w:rPr>
                <w:i/>
                <w:sz w:val="24"/>
              </w:rPr>
            </w:pPr>
          </w:p>
        </w:tc>
      </w:tr>
      <w:tr w:rsidR="00AB563A" w:rsidRPr="003D45B0" w:rsidTr="003D45B0">
        <w:tc>
          <w:tcPr>
            <w:tcW w:w="328" w:type="dxa"/>
          </w:tcPr>
          <w:p w:rsidR="00AB563A" w:rsidRPr="003D45B0" w:rsidRDefault="004307BA" w:rsidP="00AB563A">
            <w:pPr>
              <w:rPr>
                <w:sz w:val="24"/>
              </w:rPr>
            </w:pPr>
            <w:r w:rsidRPr="003D45B0">
              <w:rPr>
                <w:sz w:val="24"/>
              </w:rPr>
              <w:t>2</w:t>
            </w:r>
          </w:p>
        </w:tc>
        <w:tc>
          <w:tcPr>
            <w:tcW w:w="10162" w:type="dxa"/>
          </w:tcPr>
          <w:p w:rsidR="00AB563A" w:rsidRPr="003D45B0" w:rsidRDefault="004307BA" w:rsidP="00AB563A">
            <w:pPr>
              <w:rPr>
                <w:sz w:val="24"/>
              </w:rPr>
            </w:pPr>
            <w:r w:rsidRPr="003D45B0">
              <w:rPr>
                <w:b/>
                <w:sz w:val="24"/>
                <w:lang w:val="en-GB"/>
              </w:rPr>
              <w:t>At a European level, ‘Good Hospital Pharmacy Practice’ guidelines based on evidence should be developed. These guidelines should assist national efforts to define recognised standards across the levels, coverage, and scope of hospital pharmacy services and should include corresponding human resource and training requirements.</w:t>
            </w:r>
          </w:p>
        </w:tc>
      </w:tr>
      <w:tr w:rsidR="004307BA" w:rsidRPr="003D45B0" w:rsidTr="003D45B0">
        <w:tc>
          <w:tcPr>
            <w:tcW w:w="328" w:type="dxa"/>
          </w:tcPr>
          <w:p w:rsidR="004307BA" w:rsidRPr="003D45B0" w:rsidRDefault="004307BA" w:rsidP="00AB563A">
            <w:pPr>
              <w:rPr>
                <w:sz w:val="24"/>
              </w:rPr>
            </w:pPr>
          </w:p>
        </w:tc>
        <w:tc>
          <w:tcPr>
            <w:tcW w:w="10162" w:type="dxa"/>
          </w:tcPr>
          <w:p w:rsidR="004307BA" w:rsidRPr="003D45B0" w:rsidRDefault="004307BA" w:rsidP="0041053F">
            <w:pPr>
              <w:rPr>
                <w:i/>
                <w:sz w:val="24"/>
              </w:rPr>
            </w:pPr>
          </w:p>
        </w:tc>
      </w:tr>
      <w:tr w:rsidR="004307BA" w:rsidRPr="003D45B0" w:rsidTr="003D45B0">
        <w:tc>
          <w:tcPr>
            <w:tcW w:w="328" w:type="dxa"/>
          </w:tcPr>
          <w:p w:rsidR="004307BA" w:rsidRPr="003D45B0" w:rsidRDefault="004307BA" w:rsidP="00AB563A">
            <w:pPr>
              <w:rPr>
                <w:sz w:val="24"/>
              </w:rPr>
            </w:pPr>
            <w:r w:rsidRPr="003D45B0">
              <w:rPr>
                <w:sz w:val="24"/>
              </w:rPr>
              <w:t>3</w:t>
            </w:r>
          </w:p>
        </w:tc>
        <w:tc>
          <w:tcPr>
            <w:tcW w:w="10162" w:type="dxa"/>
          </w:tcPr>
          <w:p w:rsidR="004307BA" w:rsidRPr="003D45B0" w:rsidRDefault="004307BA" w:rsidP="004307BA">
            <w:pPr>
              <w:rPr>
                <w:sz w:val="24"/>
              </w:rPr>
            </w:pPr>
            <w:r w:rsidRPr="003D45B0">
              <w:rPr>
                <w:b/>
                <w:sz w:val="24"/>
                <w:lang w:val="en-GB"/>
              </w:rPr>
              <w:t>Health authorities should ensure that each hospital pharmacy is  supervised by a pharmacist who has completed adequate training in hospital pharmacy. All Hospitals must have access to hospital pharmacy services, including those without a pharmacy in the hospital.</w:t>
            </w:r>
          </w:p>
        </w:tc>
      </w:tr>
      <w:tr w:rsidR="004307BA" w:rsidRPr="003D45B0" w:rsidTr="003D45B0">
        <w:tc>
          <w:tcPr>
            <w:tcW w:w="328" w:type="dxa"/>
          </w:tcPr>
          <w:p w:rsidR="004307BA" w:rsidRPr="003D45B0" w:rsidRDefault="004307BA" w:rsidP="00AB563A">
            <w:pPr>
              <w:rPr>
                <w:sz w:val="24"/>
              </w:rPr>
            </w:pPr>
          </w:p>
        </w:tc>
        <w:tc>
          <w:tcPr>
            <w:tcW w:w="10162" w:type="dxa"/>
          </w:tcPr>
          <w:p w:rsidR="004307BA" w:rsidRPr="003D45B0" w:rsidRDefault="004307BA" w:rsidP="0041053F">
            <w:pPr>
              <w:rPr>
                <w:i/>
                <w:sz w:val="24"/>
              </w:rPr>
            </w:pPr>
          </w:p>
        </w:tc>
      </w:tr>
      <w:tr w:rsidR="004307BA" w:rsidRPr="003D45B0" w:rsidTr="003D45B0">
        <w:tc>
          <w:tcPr>
            <w:tcW w:w="328" w:type="dxa"/>
          </w:tcPr>
          <w:p w:rsidR="004307BA" w:rsidRPr="003D45B0" w:rsidRDefault="004307BA" w:rsidP="00AB563A">
            <w:pPr>
              <w:rPr>
                <w:sz w:val="24"/>
              </w:rPr>
            </w:pPr>
            <w:r w:rsidRPr="003D45B0">
              <w:rPr>
                <w:sz w:val="24"/>
              </w:rPr>
              <w:t>4</w:t>
            </w:r>
          </w:p>
        </w:tc>
        <w:tc>
          <w:tcPr>
            <w:tcW w:w="10162" w:type="dxa"/>
          </w:tcPr>
          <w:p w:rsidR="004307BA" w:rsidRPr="003D45B0" w:rsidRDefault="004307BA" w:rsidP="004307BA">
            <w:pPr>
              <w:rPr>
                <w:b/>
                <w:sz w:val="24"/>
                <w:lang w:val="en-GB"/>
              </w:rPr>
            </w:pPr>
            <w:r w:rsidRPr="003D45B0">
              <w:rPr>
                <w:b/>
                <w:sz w:val="24"/>
                <w:lang w:val="en-GB"/>
              </w:rPr>
              <w:t>Health authorities and hospital administrators should bring together stakeholders to collaboratively develop and utilise evidence-based plans for hospital pharmacy service provision. These should be aligned to engage hospital pharmacists in all steps of the hospital medicines-use process and to meet health needs and priorities across public and private sectors that optimise patient outcomes.</w:t>
            </w:r>
          </w:p>
        </w:tc>
      </w:tr>
      <w:tr w:rsidR="004307BA" w:rsidRPr="003D45B0" w:rsidTr="003D45B0">
        <w:tc>
          <w:tcPr>
            <w:tcW w:w="328" w:type="dxa"/>
          </w:tcPr>
          <w:p w:rsidR="004307BA" w:rsidRPr="003D45B0" w:rsidRDefault="004307BA" w:rsidP="00AB563A">
            <w:pPr>
              <w:rPr>
                <w:sz w:val="24"/>
              </w:rPr>
            </w:pPr>
          </w:p>
        </w:tc>
        <w:tc>
          <w:tcPr>
            <w:tcW w:w="10162" w:type="dxa"/>
          </w:tcPr>
          <w:p w:rsidR="004307BA" w:rsidRPr="003D45B0" w:rsidRDefault="004307BA" w:rsidP="0041053F">
            <w:pPr>
              <w:rPr>
                <w:i/>
                <w:sz w:val="24"/>
              </w:rPr>
            </w:pPr>
          </w:p>
        </w:tc>
      </w:tr>
      <w:tr w:rsidR="004307BA" w:rsidRPr="003D45B0" w:rsidTr="003D45B0">
        <w:tc>
          <w:tcPr>
            <w:tcW w:w="328" w:type="dxa"/>
          </w:tcPr>
          <w:p w:rsidR="004307BA" w:rsidRPr="003D45B0" w:rsidRDefault="004307BA" w:rsidP="00AB563A">
            <w:pPr>
              <w:rPr>
                <w:sz w:val="24"/>
              </w:rPr>
            </w:pPr>
            <w:r w:rsidRPr="003D45B0">
              <w:rPr>
                <w:sz w:val="24"/>
              </w:rPr>
              <w:t>5</w:t>
            </w:r>
          </w:p>
        </w:tc>
        <w:tc>
          <w:tcPr>
            <w:tcW w:w="10162" w:type="dxa"/>
          </w:tcPr>
          <w:p w:rsidR="004307BA" w:rsidRPr="003D45B0" w:rsidRDefault="004307BA" w:rsidP="0041053F">
            <w:pPr>
              <w:rPr>
                <w:i/>
                <w:sz w:val="24"/>
              </w:rPr>
            </w:pPr>
            <w:r w:rsidRPr="003D45B0">
              <w:rPr>
                <w:b/>
                <w:sz w:val="24"/>
                <w:lang w:val="en-GB"/>
              </w:rPr>
              <w:t>Hospital pharmacists must be members of Drug &amp; Therapeutics Committees to oversee all medicines management policies and procedures, including those related to off-label use and novel investigational medicines.</w:t>
            </w:r>
          </w:p>
        </w:tc>
      </w:tr>
      <w:tr w:rsidR="004307BA" w:rsidRPr="003D45B0" w:rsidTr="003D45B0">
        <w:tc>
          <w:tcPr>
            <w:tcW w:w="328" w:type="dxa"/>
          </w:tcPr>
          <w:p w:rsidR="004307BA" w:rsidRPr="003D45B0" w:rsidRDefault="004307BA" w:rsidP="00AB563A">
            <w:pPr>
              <w:rPr>
                <w:sz w:val="24"/>
              </w:rPr>
            </w:pPr>
          </w:p>
        </w:tc>
        <w:tc>
          <w:tcPr>
            <w:tcW w:w="10162" w:type="dxa"/>
          </w:tcPr>
          <w:p w:rsidR="004307BA" w:rsidRPr="003D45B0" w:rsidRDefault="004307BA" w:rsidP="0041053F">
            <w:pPr>
              <w:rPr>
                <w:b/>
                <w:sz w:val="24"/>
                <w:lang w:val="en-GB"/>
              </w:rPr>
            </w:pPr>
          </w:p>
        </w:tc>
      </w:tr>
      <w:tr w:rsidR="004307BA" w:rsidRPr="003D45B0" w:rsidTr="003D45B0">
        <w:tc>
          <w:tcPr>
            <w:tcW w:w="328" w:type="dxa"/>
          </w:tcPr>
          <w:p w:rsidR="004307BA" w:rsidRPr="003D45B0" w:rsidRDefault="004307BA" w:rsidP="00AB563A">
            <w:pPr>
              <w:rPr>
                <w:sz w:val="24"/>
              </w:rPr>
            </w:pPr>
            <w:r w:rsidRPr="003D45B0">
              <w:rPr>
                <w:sz w:val="24"/>
              </w:rPr>
              <w:t>6</w:t>
            </w:r>
          </w:p>
        </w:tc>
        <w:tc>
          <w:tcPr>
            <w:tcW w:w="10162" w:type="dxa"/>
          </w:tcPr>
          <w:p w:rsidR="004307BA" w:rsidRPr="003D45B0" w:rsidRDefault="004307BA" w:rsidP="004307BA">
            <w:pPr>
              <w:spacing w:before="100" w:beforeAutospacing="1"/>
              <w:rPr>
                <w:b/>
                <w:sz w:val="24"/>
                <w:lang w:val="en-GB"/>
              </w:rPr>
            </w:pPr>
            <w:r w:rsidRPr="003D45B0">
              <w:rPr>
                <w:b/>
                <w:sz w:val="24"/>
                <w:lang w:val="en-GB"/>
              </w:rPr>
              <w:t>Hospital pharmacists should ensure that pharmacy services are integrated within the general Information and Communication Technology (ICT) framework of the hospital including electronic health (</w:t>
            </w:r>
            <w:proofErr w:type="spellStart"/>
            <w:r w:rsidRPr="003D45B0">
              <w:rPr>
                <w:b/>
                <w:sz w:val="24"/>
                <w:lang w:val="en-GB"/>
              </w:rPr>
              <w:t>eHealth</w:t>
            </w:r>
            <w:proofErr w:type="spellEnd"/>
            <w:r w:rsidRPr="003D45B0">
              <w:rPr>
                <w:b/>
                <w:sz w:val="24"/>
                <w:lang w:val="en-GB"/>
              </w:rPr>
              <w:t>) and mobile health (</w:t>
            </w:r>
            <w:proofErr w:type="spellStart"/>
            <w:r w:rsidRPr="003D45B0">
              <w:rPr>
                <w:b/>
                <w:sz w:val="24"/>
                <w:lang w:val="en-GB"/>
              </w:rPr>
              <w:t>mHealth</w:t>
            </w:r>
            <w:proofErr w:type="spellEnd"/>
            <w:r w:rsidRPr="003D45B0">
              <w:rPr>
                <w:b/>
                <w:sz w:val="24"/>
                <w:lang w:val="en-GB"/>
              </w:rPr>
              <w:t>) procedures. Hospital pharmacists must be involved in the design, specification of parameters and evaluation of ICT within the medicines management processes.</w:t>
            </w:r>
          </w:p>
        </w:tc>
      </w:tr>
      <w:tr w:rsidR="004307BA" w:rsidRPr="003D45B0" w:rsidTr="003D45B0">
        <w:tc>
          <w:tcPr>
            <w:tcW w:w="328" w:type="dxa"/>
          </w:tcPr>
          <w:p w:rsidR="004307BA" w:rsidRPr="003D45B0" w:rsidRDefault="004307BA" w:rsidP="00AB563A">
            <w:pPr>
              <w:rPr>
                <w:sz w:val="24"/>
              </w:rPr>
            </w:pPr>
          </w:p>
        </w:tc>
        <w:tc>
          <w:tcPr>
            <w:tcW w:w="10162" w:type="dxa"/>
          </w:tcPr>
          <w:p w:rsidR="004307BA" w:rsidRPr="003D45B0" w:rsidRDefault="004307BA" w:rsidP="0041053F">
            <w:pPr>
              <w:rPr>
                <w:b/>
                <w:sz w:val="24"/>
                <w:lang w:val="en-GB"/>
              </w:rPr>
            </w:pPr>
          </w:p>
        </w:tc>
      </w:tr>
      <w:tr w:rsidR="004307BA" w:rsidRPr="003D45B0" w:rsidTr="003D45B0">
        <w:tc>
          <w:tcPr>
            <w:tcW w:w="328" w:type="dxa"/>
          </w:tcPr>
          <w:p w:rsidR="004307BA" w:rsidRPr="003D45B0" w:rsidRDefault="004307BA" w:rsidP="00AB563A">
            <w:pPr>
              <w:rPr>
                <w:sz w:val="24"/>
              </w:rPr>
            </w:pPr>
            <w:r w:rsidRPr="003D45B0">
              <w:rPr>
                <w:sz w:val="24"/>
              </w:rPr>
              <w:t>7</w:t>
            </w:r>
          </w:p>
        </w:tc>
        <w:tc>
          <w:tcPr>
            <w:tcW w:w="10162" w:type="dxa"/>
          </w:tcPr>
          <w:p w:rsidR="004307BA" w:rsidRPr="003D45B0" w:rsidRDefault="004307BA" w:rsidP="0041053F">
            <w:pPr>
              <w:rPr>
                <w:i/>
                <w:sz w:val="24"/>
              </w:rPr>
            </w:pPr>
            <w:r w:rsidRPr="003D45B0">
              <w:rPr>
                <w:b/>
                <w:sz w:val="24"/>
                <w:lang w:val="en-GB"/>
              </w:rPr>
              <w:t>Hospital pharmacists should develop, together with other healthcare professionals, criteria in order to focus the activities of the Hospital Pharmacy ensuring optimal outcomes for patients. Health systems have limited resources and these should be used responsibly.</w:t>
            </w:r>
          </w:p>
        </w:tc>
      </w:tr>
      <w:tr w:rsidR="004307BA" w:rsidRPr="003D45B0" w:rsidTr="003D45B0">
        <w:tc>
          <w:tcPr>
            <w:tcW w:w="328" w:type="dxa"/>
          </w:tcPr>
          <w:p w:rsidR="004307BA" w:rsidRPr="003D45B0" w:rsidRDefault="004307BA" w:rsidP="00AB563A">
            <w:pPr>
              <w:rPr>
                <w:sz w:val="24"/>
              </w:rPr>
            </w:pPr>
          </w:p>
        </w:tc>
        <w:tc>
          <w:tcPr>
            <w:tcW w:w="10162" w:type="dxa"/>
          </w:tcPr>
          <w:p w:rsidR="004307BA" w:rsidRPr="003D45B0" w:rsidRDefault="004307BA" w:rsidP="0041053F">
            <w:pPr>
              <w:rPr>
                <w:b/>
                <w:sz w:val="24"/>
                <w:lang w:val="en-GB"/>
              </w:rPr>
            </w:pPr>
          </w:p>
        </w:tc>
      </w:tr>
    </w:tbl>
    <w:p w:rsidR="00AB563A" w:rsidRPr="003D45B0" w:rsidRDefault="004B6DC5" w:rsidP="00AB563A">
      <w:pPr>
        <w:rPr>
          <w:sz w:val="24"/>
        </w:rPr>
      </w:pPr>
      <w:r w:rsidRPr="003D45B0">
        <w:rPr>
          <w:sz w:val="24"/>
        </w:rPr>
        <w:br/>
      </w:r>
    </w:p>
    <w:p w:rsidR="004B6DC5" w:rsidRPr="003D45B0" w:rsidRDefault="004B6DC5" w:rsidP="00AB563A">
      <w:pPr>
        <w:rPr>
          <w:sz w:val="24"/>
        </w:rPr>
      </w:pPr>
    </w:p>
    <w:p w:rsidR="004B6DC5" w:rsidRPr="003D45B0" w:rsidRDefault="004B6DC5" w:rsidP="00AB563A">
      <w:pPr>
        <w:rPr>
          <w:sz w:val="24"/>
        </w:rPr>
      </w:pPr>
    </w:p>
    <w:p w:rsidR="004B6DC5" w:rsidRPr="003D45B0" w:rsidRDefault="004B6DC5" w:rsidP="00AB563A">
      <w:pPr>
        <w:rPr>
          <w:sz w:val="24"/>
        </w:rPr>
      </w:pPr>
    </w:p>
    <w:p w:rsidR="004B5877" w:rsidRPr="003D45B0" w:rsidRDefault="004B5877" w:rsidP="004B5877">
      <w:pPr>
        <w:pStyle w:val="Heading1"/>
        <w:rPr>
          <w:color w:val="4F6228" w:themeColor="accent3" w:themeShade="80"/>
          <w:sz w:val="32"/>
        </w:rPr>
      </w:pPr>
      <w:r w:rsidRPr="003D45B0">
        <w:rPr>
          <w:color w:val="4F6228" w:themeColor="accent3" w:themeShade="80"/>
          <w:sz w:val="32"/>
        </w:rPr>
        <w:lastRenderedPageBreak/>
        <w:t xml:space="preserve">Section </w:t>
      </w:r>
      <w:r w:rsidR="00E80E31" w:rsidRPr="003D45B0">
        <w:rPr>
          <w:color w:val="4F6228" w:themeColor="accent3" w:themeShade="80"/>
          <w:sz w:val="32"/>
        </w:rPr>
        <w:t>2</w:t>
      </w:r>
      <w:r w:rsidRPr="003D45B0">
        <w:rPr>
          <w:color w:val="4F6228" w:themeColor="accent3" w:themeShade="80"/>
          <w:sz w:val="32"/>
        </w:rPr>
        <w:t xml:space="preserve">: </w:t>
      </w:r>
      <w:r w:rsidR="00E80E31" w:rsidRPr="003D45B0">
        <w:rPr>
          <w:color w:val="4F6228" w:themeColor="accent3" w:themeShade="80"/>
          <w:sz w:val="32"/>
        </w:rPr>
        <w:t>Selection, Procurement and Distribution</w:t>
      </w:r>
    </w:p>
    <w:p w:rsidR="004B5877" w:rsidRPr="003D45B0" w:rsidRDefault="004B5877" w:rsidP="004B5877">
      <w:pPr>
        <w:rPr>
          <w:sz w:val="24"/>
        </w:rPr>
      </w:pPr>
    </w:p>
    <w:tbl>
      <w:tblPr>
        <w:tblStyle w:val="TableGrid"/>
        <w:tblW w:w="10348" w:type="dxa"/>
        <w:tblInd w:w="-459" w:type="dxa"/>
        <w:tblLook w:val="04A0" w:firstRow="1" w:lastRow="0" w:firstColumn="1" w:lastColumn="0" w:noHBand="0" w:noVBand="1"/>
      </w:tblPr>
      <w:tblGrid>
        <w:gridCol w:w="460"/>
        <w:gridCol w:w="9888"/>
      </w:tblGrid>
      <w:tr w:rsidR="004B5877" w:rsidRPr="003D45B0" w:rsidTr="003D45B0">
        <w:tc>
          <w:tcPr>
            <w:tcW w:w="440" w:type="dxa"/>
          </w:tcPr>
          <w:p w:rsidR="004B5877" w:rsidRPr="003D45B0" w:rsidRDefault="004B5877" w:rsidP="0041053F">
            <w:pPr>
              <w:rPr>
                <w:sz w:val="24"/>
              </w:rPr>
            </w:pPr>
            <w:r w:rsidRPr="003D45B0">
              <w:rPr>
                <w:sz w:val="24"/>
              </w:rPr>
              <w:t>8</w:t>
            </w:r>
          </w:p>
        </w:tc>
        <w:tc>
          <w:tcPr>
            <w:tcW w:w="9908" w:type="dxa"/>
          </w:tcPr>
          <w:p w:rsidR="004B5877" w:rsidRPr="003D45B0" w:rsidRDefault="004B5877" w:rsidP="0041053F">
            <w:pPr>
              <w:rPr>
                <w:sz w:val="24"/>
              </w:rPr>
            </w:pPr>
            <w:r w:rsidRPr="003D45B0">
              <w:rPr>
                <w:b/>
                <w:sz w:val="24"/>
                <w:lang w:val="en-GB"/>
              </w:rPr>
              <w:t>Procurement of pharmaceuticals is a complex process and a core activity of hospital pharmacists. Hospital pharmacists should establish procedures of procurement based in principles of safety and quality of medicines according to the best practices and in line with national legislation.</w:t>
            </w:r>
          </w:p>
        </w:tc>
      </w:tr>
      <w:tr w:rsidR="004B5877" w:rsidRPr="003D45B0" w:rsidTr="003D45B0">
        <w:tc>
          <w:tcPr>
            <w:tcW w:w="440" w:type="dxa"/>
          </w:tcPr>
          <w:p w:rsidR="004B5877" w:rsidRPr="003D45B0" w:rsidRDefault="004B5877" w:rsidP="0041053F">
            <w:pPr>
              <w:rPr>
                <w:sz w:val="24"/>
              </w:rPr>
            </w:pPr>
          </w:p>
        </w:tc>
        <w:tc>
          <w:tcPr>
            <w:tcW w:w="9908" w:type="dxa"/>
          </w:tcPr>
          <w:p w:rsidR="004B5877" w:rsidRPr="003D45B0" w:rsidRDefault="004B5877" w:rsidP="0041053F">
            <w:pPr>
              <w:rPr>
                <w:i/>
                <w:sz w:val="24"/>
              </w:rPr>
            </w:pPr>
          </w:p>
        </w:tc>
      </w:tr>
      <w:tr w:rsidR="004B5877" w:rsidRPr="003D45B0" w:rsidTr="003D45B0">
        <w:tc>
          <w:tcPr>
            <w:tcW w:w="440" w:type="dxa"/>
          </w:tcPr>
          <w:p w:rsidR="004B5877" w:rsidRPr="003D45B0" w:rsidRDefault="004B5877" w:rsidP="0041053F">
            <w:pPr>
              <w:rPr>
                <w:sz w:val="24"/>
              </w:rPr>
            </w:pPr>
            <w:r w:rsidRPr="003D45B0">
              <w:rPr>
                <w:sz w:val="24"/>
              </w:rPr>
              <w:t>9</w:t>
            </w:r>
          </w:p>
        </w:tc>
        <w:tc>
          <w:tcPr>
            <w:tcW w:w="9908" w:type="dxa"/>
          </w:tcPr>
          <w:p w:rsidR="004B5877" w:rsidRPr="003D45B0" w:rsidRDefault="004B5877" w:rsidP="0041053F">
            <w:pPr>
              <w:rPr>
                <w:sz w:val="24"/>
              </w:rPr>
            </w:pPr>
            <w:r w:rsidRPr="003D45B0">
              <w:rPr>
                <w:b/>
                <w:sz w:val="24"/>
                <w:lang w:val="en-GB"/>
              </w:rPr>
              <w:t>Hospital pharmacists should have responsibility for the management of medicine use processes and medicine related technologies.</w:t>
            </w:r>
          </w:p>
        </w:tc>
      </w:tr>
      <w:tr w:rsidR="004B5877" w:rsidRPr="003D45B0" w:rsidTr="003D45B0">
        <w:tc>
          <w:tcPr>
            <w:tcW w:w="440" w:type="dxa"/>
          </w:tcPr>
          <w:p w:rsidR="004B5877" w:rsidRPr="003D45B0" w:rsidRDefault="004B5877" w:rsidP="0041053F">
            <w:pPr>
              <w:rPr>
                <w:sz w:val="24"/>
              </w:rPr>
            </w:pPr>
          </w:p>
        </w:tc>
        <w:tc>
          <w:tcPr>
            <w:tcW w:w="9908" w:type="dxa"/>
          </w:tcPr>
          <w:p w:rsidR="004B5877" w:rsidRPr="003D45B0" w:rsidRDefault="004B5877" w:rsidP="0041053F">
            <w:pPr>
              <w:rPr>
                <w:i/>
                <w:sz w:val="24"/>
              </w:rPr>
            </w:pPr>
          </w:p>
        </w:tc>
      </w:tr>
      <w:tr w:rsidR="004B5877" w:rsidRPr="003D45B0" w:rsidTr="003D45B0">
        <w:tc>
          <w:tcPr>
            <w:tcW w:w="440" w:type="dxa"/>
          </w:tcPr>
          <w:p w:rsidR="004B5877" w:rsidRPr="003D45B0" w:rsidRDefault="004B5877" w:rsidP="0041053F">
            <w:pPr>
              <w:rPr>
                <w:sz w:val="24"/>
              </w:rPr>
            </w:pPr>
            <w:r w:rsidRPr="003D45B0">
              <w:rPr>
                <w:sz w:val="24"/>
              </w:rPr>
              <w:t>10</w:t>
            </w:r>
          </w:p>
        </w:tc>
        <w:tc>
          <w:tcPr>
            <w:tcW w:w="9908" w:type="dxa"/>
          </w:tcPr>
          <w:p w:rsidR="004B5877" w:rsidRPr="003D45B0" w:rsidRDefault="004B5877" w:rsidP="0041053F">
            <w:pPr>
              <w:rPr>
                <w:i/>
                <w:sz w:val="24"/>
              </w:rPr>
            </w:pPr>
            <w:r w:rsidRPr="003D45B0">
              <w:rPr>
                <w:b/>
                <w:sz w:val="24"/>
                <w:lang w:val="en-GB"/>
              </w:rPr>
              <w:t>Hospitals should utilise a medicine formulary system, local, regional and/or national. The medicine formulary system should be linked to standard treatment guidelines, protocols and treatment pathways based on the best available evidence.</w:t>
            </w:r>
          </w:p>
        </w:tc>
      </w:tr>
      <w:tr w:rsidR="004B5877" w:rsidRPr="003D45B0" w:rsidTr="003D45B0">
        <w:tc>
          <w:tcPr>
            <w:tcW w:w="440" w:type="dxa"/>
          </w:tcPr>
          <w:p w:rsidR="004B5877" w:rsidRPr="003D45B0" w:rsidRDefault="004B5877" w:rsidP="0041053F">
            <w:pPr>
              <w:rPr>
                <w:sz w:val="24"/>
              </w:rPr>
            </w:pPr>
          </w:p>
        </w:tc>
        <w:tc>
          <w:tcPr>
            <w:tcW w:w="9908" w:type="dxa"/>
          </w:tcPr>
          <w:p w:rsidR="004B5877" w:rsidRPr="003D45B0" w:rsidRDefault="004B5877" w:rsidP="0041053F">
            <w:pPr>
              <w:rPr>
                <w:i/>
                <w:sz w:val="24"/>
              </w:rPr>
            </w:pPr>
          </w:p>
        </w:tc>
      </w:tr>
      <w:tr w:rsidR="004B5877" w:rsidRPr="003D45B0" w:rsidTr="003D45B0">
        <w:tc>
          <w:tcPr>
            <w:tcW w:w="440" w:type="dxa"/>
          </w:tcPr>
          <w:p w:rsidR="004B5877" w:rsidRPr="003D45B0" w:rsidRDefault="004B5877" w:rsidP="0041053F">
            <w:pPr>
              <w:rPr>
                <w:sz w:val="24"/>
              </w:rPr>
            </w:pPr>
            <w:r w:rsidRPr="003D45B0">
              <w:rPr>
                <w:sz w:val="24"/>
              </w:rPr>
              <w:t>11</w:t>
            </w:r>
          </w:p>
        </w:tc>
        <w:tc>
          <w:tcPr>
            <w:tcW w:w="9908" w:type="dxa"/>
          </w:tcPr>
          <w:p w:rsidR="004B5877" w:rsidRPr="003D45B0" w:rsidRDefault="004B5877" w:rsidP="0041053F">
            <w:pPr>
              <w:rPr>
                <w:b/>
                <w:sz w:val="24"/>
                <w:lang w:val="en-GB"/>
              </w:rPr>
            </w:pPr>
            <w:r w:rsidRPr="003D45B0">
              <w:rPr>
                <w:b/>
                <w:sz w:val="24"/>
                <w:lang w:val="en-GB"/>
              </w:rPr>
              <w:t>Procurement must be according to the medicine formulary and informed by the formulary selection process. This must be a transparent process and any conflicts of interest should be disclosed.</w:t>
            </w:r>
          </w:p>
        </w:tc>
      </w:tr>
      <w:tr w:rsidR="004B5877" w:rsidRPr="003D45B0" w:rsidTr="003D45B0">
        <w:tc>
          <w:tcPr>
            <w:tcW w:w="440" w:type="dxa"/>
          </w:tcPr>
          <w:p w:rsidR="004B5877" w:rsidRPr="003D45B0" w:rsidRDefault="004B5877" w:rsidP="0041053F">
            <w:pPr>
              <w:rPr>
                <w:sz w:val="24"/>
              </w:rPr>
            </w:pPr>
          </w:p>
        </w:tc>
        <w:tc>
          <w:tcPr>
            <w:tcW w:w="9908" w:type="dxa"/>
          </w:tcPr>
          <w:p w:rsidR="004B5877" w:rsidRPr="003D45B0" w:rsidRDefault="004B5877" w:rsidP="0041053F">
            <w:pPr>
              <w:rPr>
                <w:i/>
                <w:sz w:val="24"/>
              </w:rPr>
            </w:pPr>
          </w:p>
        </w:tc>
      </w:tr>
      <w:tr w:rsidR="004B5877" w:rsidRPr="003D45B0" w:rsidTr="003D45B0">
        <w:tc>
          <w:tcPr>
            <w:tcW w:w="440" w:type="dxa"/>
          </w:tcPr>
          <w:p w:rsidR="004B5877" w:rsidRPr="003D45B0" w:rsidRDefault="004B5877" w:rsidP="0041053F">
            <w:pPr>
              <w:rPr>
                <w:sz w:val="24"/>
              </w:rPr>
            </w:pPr>
            <w:r w:rsidRPr="003D45B0">
              <w:rPr>
                <w:sz w:val="24"/>
              </w:rPr>
              <w:t>12</w:t>
            </w:r>
          </w:p>
        </w:tc>
        <w:tc>
          <w:tcPr>
            <w:tcW w:w="9908" w:type="dxa"/>
          </w:tcPr>
          <w:p w:rsidR="004B5877" w:rsidRPr="003D45B0" w:rsidRDefault="004B5877" w:rsidP="0041053F">
            <w:pPr>
              <w:rPr>
                <w:b/>
                <w:sz w:val="24"/>
                <w:lang w:val="en-GB"/>
              </w:rPr>
            </w:pPr>
            <w:r w:rsidRPr="003D45B0">
              <w:rPr>
                <w:b/>
                <w:sz w:val="24"/>
                <w:lang w:val="en-GB"/>
              </w:rPr>
              <w:t>Each hospital pharmacy should have contingency plans for shortages and purchases for all medicines and products under its responsibility.</w:t>
            </w:r>
          </w:p>
        </w:tc>
      </w:tr>
      <w:tr w:rsidR="004B5877" w:rsidRPr="003D45B0" w:rsidTr="003D45B0">
        <w:tc>
          <w:tcPr>
            <w:tcW w:w="440" w:type="dxa"/>
          </w:tcPr>
          <w:p w:rsidR="004B5877" w:rsidRPr="003D45B0" w:rsidRDefault="004B5877" w:rsidP="0041053F">
            <w:pPr>
              <w:rPr>
                <w:sz w:val="24"/>
              </w:rPr>
            </w:pPr>
          </w:p>
        </w:tc>
        <w:tc>
          <w:tcPr>
            <w:tcW w:w="9908" w:type="dxa"/>
          </w:tcPr>
          <w:p w:rsidR="004B5877" w:rsidRPr="003D45B0" w:rsidRDefault="004B5877" w:rsidP="0041053F">
            <w:pPr>
              <w:rPr>
                <w:i/>
                <w:sz w:val="24"/>
              </w:rPr>
            </w:pPr>
          </w:p>
        </w:tc>
      </w:tr>
      <w:tr w:rsidR="004B5877" w:rsidRPr="003D45B0" w:rsidTr="003D45B0">
        <w:tc>
          <w:tcPr>
            <w:tcW w:w="440" w:type="dxa"/>
          </w:tcPr>
          <w:p w:rsidR="004B5877" w:rsidRPr="003D45B0" w:rsidRDefault="004B5877" w:rsidP="0041053F">
            <w:pPr>
              <w:rPr>
                <w:sz w:val="24"/>
              </w:rPr>
            </w:pPr>
            <w:r w:rsidRPr="003D45B0">
              <w:rPr>
                <w:sz w:val="24"/>
              </w:rPr>
              <w:t>13</w:t>
            </w:r>
          </w:p>
        </w:tc>
        <w:tc>
          <w:tcPr>
            <w:tcW w:w="9908" w:type="dxa"/>
          </w:tcPr>
          <w:p w:rsidR="004B5877" w:rsidRPr="003D45B0" w:rsidRDefault="004B5877" w:rsidP="0041053F">
            <w:pPr>
              <w:rPr>
                <w:b/>
                <w:sz w:val="24"/>
                <w:lang w:val="en-GB"/>
              </w:rPr>
            </w:pPr>
            <w:r w:rsidRPr="003D45B0">
              <w:rPr>
                <w:b/>
                <w:sz w:val="24"/>
                <w:lang w:val="en-GB"/>
              </w:rPr>
              <w:t>Hospital pharmacy departments should have responsibility for all medicines logistics in hospitals either directly or by educating others. This includes proper storage, preparation, dispensing, and distribution conditions for all medicines and pharmaceutical products used in the hospital, including investigational medicines.</w:t>
            </w:r>
          </w:p>
        </w:tc>
      </w:tr>
      <w:tr w:rsidR="004B5877" w:rsidRPr="003D45B0" w:rsidTr="003D45B0">
        <w:tc>
          <w:tcPr>
            <w:tcW w:w="440" w:type="dxa"/>
          </w:tcPr>
          <w:p w:rsidR="004B5877" w:rsidRPr="003D45B0" w:rsidRDefault="004B5877" w:rsidP="0041053F">
            <w:pPr>
              <w:rPr>
                <w:sz w:val="24"/>
              </w:rPr>
            </w:pPr>
          </w:p>
        </w:tc>
        <w:tc>
          <w:tcPr>
            <w:tcW w:w="9908" w:type="dxa"/>
          </w:tcPr>
          <w:p w:rsidR="004B5877" w:rsidRPr="003D45B0" w:rsidRDefault="004B5877" w:rsidP="0041053F">
            <w:pPr>
              <w:rPr>
                <w:i/>
                <w:sz w:val="24"/>
              </w:rPr>
            </w:pPr>
          </w:p>
        </w:tc>
      </w:tr>
      <w:tr w:rsidR="004B5877" w:rsidRPr="003D45B0" w:rsidTr="003D45B0">
        <w:tc>
          <w:tcPr>
            <w:tcW w:w="440" w:type="dxa"/>
          </w:tcPr>
          <w:p w:rsidR="004B5877" w:rsidRPr="003D45B0" w:rsidRDefault="004B5877" w:rsidP="0041053F">
            <w:pPr>
              <w:rPr>
                <w:sz w:val="24"/>
              </w:rPr>
            </w:pPr>
            <w:r w:rsidRPr="003D45B0">
              <w:rPr>
                <w:sz w:val="24"/>
              </w:rPr>
              <w:t>14</w:t>
            </w:r>
          </w:p>
        </w:tc>
        <w:tc>
          <w:tcPr>
            <w:tcW w:w="9908" w:type="dxa"/>
          </w:tcPr>
          <w:p w:rsidR="004B5877" w:rsidRPr="003D45B0" w:rsidRDefault="004B5877" w:rsidP="0041053F">
            <w:pPr>
              <w:rPr>
                <w:b/>
                <w:sz w:val="24"/>
                <w:lang w:val="en-GB"/>
              </w:rPr>
            </w:pPr>
            <w:r w:rsidRPr="003D45B0">
              <w:rPr>
                <w:b/>
                <w:sz w:val="24"/>
                <w:lang w:val="en-GB"/>
              </w:rPr>
              <w:t>Hospital pharmacists should support the development of policies regarding the use of medicines brought into the hospital by patients, by evaluating the appropriateness of all medication including herbal and dietary supplements. All the medicines brought by patients should be registered on the medical record.</w:t>
            </w:r>
          </w:p>
        </w:tc>
      </w:tr>
      <w:tr w:rsidR="004B5877" w:rsidRPr="003D45B0" w:rsidTr="003D45B0">
        <w:tc>
          <w:tcPr>
            <w:tcW w:w="440" w:type="dxa"/>
          </w:tcPr>
          <w:p w:rsidR="004B5877" w:rsidRPr="003D45B0" w:rsidRDefault="004B5877" w:rsidP="0041053F">
            <w:pPr>
              <w:rPr>
                <w:sz w:val="24"/>
              </w:rPr>
            </w:pPr>
          </w:p>
        </w:tc>
        <w:tc>
          <w:tcPr>
            <w:tcW w:w="9908" w:type="dxa"/>
          </w:tcPr>
          <w:p w:rsidR="004B5877" w:rsidRPr="003D45B0" w:rsidRDefault="004B5877" w:rsidP="0041053F">
            <w:pPr>
              <w:rPr>
                <w:i/>
                <w:sz w:val="24"/>
              </w:rPr>
            </w:pPr>
          </w:p>
        </w:tc>
      </w:tr>
    </w:tbl>
    <w:p w:rsidR="004B5877" w:rsidRPr="003D45B0" w:rsidRDefault="004B5877" w:rsidP="00AB563A">
      <w:pPr>
        <w:rPr>
          <w:sz w:val="24"/>
        </w:rPr>
      </w:pPr>
    </w:p>
    <w:p w:rsidR="00E80E31" w:rsidRPr="003D45B0" w:rsidRDefault="00E80E31" w:rsidP="00AB563A">
      <w:pPr>
        <w:rPr>
          <w:sz w:val="24"/>
        </w:rPr>
      </w:pPr>
    </w:p>
    <w:p w:rsidR="00E80E31" w:rsidRPr="003D45B0" w:rsidRDefault="00E80E31" w:rsidP="00AB563A">
      <w:pPr>
        <w:rPr>
          <w:sz w:val="24"/>
        </w:rPr>
      </w:pPr>
    </w:p>
    <w:p w:rsidR="00E80E31" w:rsidRPr="003D45B0" w:rsidRDefault="00E80E31" w:rsidP="00AB563A">
      <w:pPr>
        <w:rPr>
          <w:sz w:val="24"/>
        </w:rPr>
      </w:pPr>
    </w:p>
    <w:p w:rsidR="00E80E31" w:rsidRPr="003D45B0" w:rsidRDefault="00E80E31" w:rsidP="00AB563A">
      <w:pPr>
        <w:rPr>
          <w:sz w:val="24"/>
        </w:rPr>
      </w:pPr>
    </w:p>
    <w:p w:rsidR="00E80E31" w:rsidRPr="003D45B0" w:rsidRDefault="00E80E31" w:rsidP="00AB563A">
      <w:pPr>
        <w:rPr>
          <w:sz w:val="24"/>
        </w:rPr>
      </w:pPr>
    </w:p>
    <w:p w:rsidR="00E80E31" w:rsidRPr="003D45B0" w:rsidRDefault="00E80E31" w:rsidP="00AB563A">
      <w:pPr>
        <w:rPr>
          <w:sz w:val="24"/>
        </w:rPr>
      </w:pPr>
    </w:p>
    <w:p w:rsidR="00E80E31" w:rsidRPr="003D45B0" w:rsidRDefault="00E80E31" w:rsidP="00E80E31">
      <w:pPr>
        <w:pStyle w:val="Heading1"/>
        <w:rPr>
          <w:color w:val="4F6228" w:themeColor="accent3" w:themeShade="80"/>
          <w:sz w:val="32"/>
        </w:rPr>
      </w:pPr>
      <w:r w:rsidRPr="003D45B0">
        <w:rPr>
          <w:color w:val="4F6228" w:themeColor="accent3" w:themeShade="80"/>
          <w:sz w:val="32"/>
        </w:rPr>
        <w:lastRenderedPageBreak/>
        <w:t>Section 3: Production and Compounding</w:t>
      </w:r>
    </w:p>
    <w:p w:rsidR="00E80E31" w:rsidRPr="003D45B0" w:rsidRDefault="00E80E31" w:rsidP="00E80E31">
      <w:pPr>
        <w:rPr>
          <w:sz w:val="24"/>
        </w:rPr>
      </w:pPr>
    </w:p>
    <w:tbl>
      <w:tblPr>
        <w:tblStyle w:val="TableGrid"/>
        <w:tblW w:w="10206" w:type="dxa"/>
        <w:tblInd w:w="-459" w:type="dxa"/>
        <w:tblLook w:val="04A0" w:firstRow="1" w:lastRow="0" w:firstColumn="1" w:lastColumn="0" w:noHBand="0" w:noVBand="1"/>
      </w:tblPr>
      <w:tblGrid>
        <w:gridCol w:w="460"/>
        <w:gridCol w:w="9746"/>
      </w:tblGrid>
      <w:tr w:rsidR="00E80E31" w:rsidRPr="003D45B0" w:rsidTr="003D45B0">
        <w:tc>
          <w:tcPr>
            <w:tcW w:w="440" w:type="dxa"/>
          </w:tcPr>
          <w:p w:rsidR="00E80E31" w:rsidRPr="003D45B0" w:rsidRDefault="00E80E31" w:rsidP="0041053F">
            <w:pPr>
              <w:rPr>
                <w:sz w:val="24"/>
              </w:rPr>
            </w:pPr>
            <w:r w:rsidRPr="003D45B0">
              <w:rPr>
                <w:sz w:val="24"/>
              </w:rPr>
              <w:t>15</w:t>
            </w:r>
          </w:p>
        </w:tc>
        <w:tc>
          <w:tcPr>
            <w:tcW w:w="9766" w:type="dxa"/>
          </w:tcPr>
          <w:p w:rsidR="00E80E31" w:rsidRPr="003D45B0" w:rsidRDefault="00E80E31" w:rsidP="0041053F">
            <w:pPr>
              <w:rPr>
                <w:sz w:val="24"/>
              </w:rPr>
            </w:pPr>
            <w:r w:rsidRPr="003D45B0">
              <w:rPr>
                <w:b/>
                <w:sz w:val="24"/>
                <w:lang w:val="en-GB"/>
              </w:rPr>
              <w:t>Medicines not commercially available for special groups of patients that require compounding or production should be prepared by a hospital pharmacy. This process should also consider the need for supply after discharge.</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r w:rsidR="00E80E31" w:rsidRPr="003D45B0" w:rsidTr="003D45B0">
        <w:tc>
          <w:tcPr>
            <w:tcW w:w="440" w:type="dxa"/>
          </w:tcPr>
          <w:p w:rsidR="00E80E31" w:rsidRPr="003D45B0" w:rsidRDefault="00E80E31" w:rsidP="0041053F">
            <w:pPr>
              <w:rPr>
                <w:sz w:val="24"/>
              </w:rPr>
            </w:pPr>
            <w:r w:rsidRPr="003D45B0">
              <w:rPr>
                <w:sz w:val="24"/>
              </w:rPr>
              <w:t>16</w:t>
            </w:r>
          </w:p>
        </w:tc>
        <w:tc>
          <w:tcPr>
            <w:tcW w:w="9766" w:type="dxa"/>
          </w:tcPr>
          <w:p w:rsidR="00E80E31" w:rsidRPr="003D45B0" w:rsidRDefault="00E80E31" w:rsidP="0041053F">
            <w:pPr>
              <w:rPr>
                <w:sz w:val="24"/>
              </w:rPr>
            </w:pPr>
            <w:r w:rsidRPr="003D45B0">
              <w:rPr>
                <w:b/>
                <w:sz w:val="24"/>
                <w:lang w:val="en-GB"/>
              </w:rPr>
              <w:t xml:space="preserve">Hospital pharmacists should appropriately develop pharmacy-managed </w:t>
            </w:r>
            <w:proofErr w:type="spellStart"/>
            <w:r w:rsidRPr="003D45B0">
              <w:rPr>
                <w:b/>
                <w:sz w:val="24"/>
                <w:lang w:val="en-GB"/>
              </w:rPr>
              <w:t>injectables</w:t>
            </w:r>
            <w:proofErr w:type="spellEnd"/>
            <w:r w:rsidRPr="003D45B0">
              <w:rPr>
                <w:b/>
                <w:sz w:val="24"/>
                <w:lang w:val="en-GB"/>
              </w:rPr>
              <w:t xml:space="preserve"> using aseptic technique </w:t>
            </w:r>
            <w:r w:rsidRPr="003D45B0">
              <w:rPr>
                <w:rStyle w:val="Strong"/>
                <w:rFonts w:cs="Arial"/>
                <w:iCs/>
                <w:sz w:val="24"/>
                <w:lang w:val="en-GB"/>
              </w:rPr>
              <w:t>where no commercially manufactured product is available</w:t>
            </w:r>
            <w:r w:rsidRPr="003D45B0">
              <w:rPr>
                <w:b/>
                <w:sz w:val="24"/>
                <w:lang w:val="en-GB"/>
              </w:rPr>
              <w:t>.</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r w:rsidR="00E80E31" w:rsidRPr="003D45B0" w:rsidTr="003D45B0">
        <w:tc>
          <w:tcPr>
            <w:tcW w:w="440" w:type="dxa"/>
          </w:tcPr>
          <w:p w:rsidR="00E80E31" w:rsidRPr="003D45B0" w:rsidRDefault="00E80E31" w:rsidP="0041053F">
            <w:pPr>
              <w:rPr>
                <w:sz w:val="24"/>
              </w:rPr>
            </w:pPr>
            <w:r w:rsidRPr="003D45B0">
              <w:rPr>
                <w:sz w:val="24"/>
              </w:rPr>
              <w:t>17</w:t>
            </w:r>
          </w:p>
        </w:tc>
        <w:tc>
          <w:tcPr>
            <w:tcW w:w="9766" w:type="dxa"/>
          </w:tcPr>
          <w:p w:rsidR="00E80E31" w:rsidRPr="003D45B0" w:rsidRDefault="00E80E31" w:rsidP="0041053F">
            <w:pPr>
              <w:rPr>
                <w:b/>
                <w:sz w:val="24"/>
                <w:lang w:val="en-GB"/>
              </w:rPr>
            </w:pPr>
            <w:r w:rsidRPr="003D45B0">
              <w:rPr>
                <w:b/>
                <w:sz w:val="24"/>
                <w:lang w:val="en-GB"/>
              </w:rPr>
              <w:t>When reconstitution takes place in the ward, a hospital pharmacist should approve written procedures and ensure that s</w:t>
            </w:r>
            <w:r w:rsidR="00E32886">
              <w:rPr>
                <w:b/>
                <w:sz w:val="24"/>
                <w:lang w:val="en-GB"/>
              </w:rPr>
              <w:t xml:space="preserve">taff involved in reconstitution </w:t>
            </w:r>
            <w:r w:rsidRPr="003D45B0">
              <w:rPr>
                <w:b/>
                <w:sz w:val="24"/>
                <w:lang w:val="en-GB"/>
              </w:rPr>
              <w:t>are appropriately trained.</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r w:rsidR="00E80E31" w:rsidRPr="003D45B0" w:rsidTr="003D45B0">
        <w:tc>
          <w:tcPr>
            <w:tcW w:w="440" w:type="dxa"/>
          </w:tcPr>
          <w:p w:rsidR="00E80E31" w:rsidRPr="003D45B0" w:rsidRDefault="00E80E31" w:rsidP="0041053F">
            <w:pPr>
              <w:rPr>
                <w:sz w:val="24"/>
              </w:rPr>
            </w:pPr>
            <w:r w:rsidRPr="003D45B0">
              <w:rPr>
                <w:sz w:val="24"/>
              </w:rPr>
              <w:t>18</w:t>
            </w:r>
          </w:p>
        </w:tc>
        <w:tc>
          <w:tcPr>
            <w:tcW w:w="9766" w:type="dxa"/>
          </w:tcPr>
          <w:p w:rsidR="00E80E31" w:rsidRPr="003D45B0" w:rsidRDefault="00E80E31" w:rsidP="0041053F">
            <w:pPr>
              <w:rPr>
                <w:b/>
                <w:sz w:val="24"/>
                <w:lang w:val="en-GB"/>
              </w:rPr>
            </w:pPr>
            <w:r w:rsidRPr="003D45B0">
              <w:rPr>
                <w:b/>
                <w:sz w:val="24"/>
                <w:lang w:val="en-GB"/>
              </w:rPr>
              <w:t xml:space="preserve">Hazardous medicines including </w:t>
            </w:r>
            <w:proofErr w:type="spellStart"/>
            <w:r w:rsidRPr="003D45B0">
              <w:rPr>
                <w:b/>
                <w:sz w:val="24"/>
                <w:lang w:val="en-GB"/>
              </w:rPr>
              <w:t>cytotoxics</w:t>
            </w:r>
            <w:proofErr w:type="spellEnd"/>
            <w:r w:rsidRPr="003D45B0">
              <w:rPr>
                <w:b/>
                <w:sz w:val="24"/>
                <w:lang w:val="en-GB"/>
              </w:rPr>
              <w:t>, radiopharmaceuticals and gene therapy should be prepared and administered under appropriate conditions that minimise the risk of contaminating the product and exposing hospital personnel and patients to harm.</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r w:rsidR="00E80E31" w:rsidRPr="003D45B0" w:rsidTr="003D45B0">
        <w:tc>
          <w:tcPr>
            <w:tcW w:w="440" w:type="dxa"/>
          </w:tcPr>
          <w:p w:rsidR="00E80E31" w:rsidRPr="003D45B0" w:rsidRDefault="00E80E31" w:rsidP="0041053F">
            <w:pPr>
              <w:rPr>
                <w:sz w:val="24"/>
              </w:rPr>
            </w:pPr>
            <w:r w:rsidRPr="003D45B0">
              <w:rPr>
                <w:sz w:val="24"/>
              </w:rPr>
              <w:t>19</w:t>
            </w:r>
          </w:p>
        </w:tc>
        <w:tc>
          <w:tcPr>
            <w:tcW w:w="9766" w:type="dxa"/>
          </w:tcPr>
          <w:p w:rsidR="00E80E31" w:rsidRPr="003D45B0" w:rsidRDefault="00E80E31" w:rsidP="0041053F">
            <w:pPr>
              <w:rPr>
                <w:b/>
                <w:sz w:val="24"/>
                <w:lang w:val="en-GB"/>
              </w:rPr>
            </w:pPr>
            <w:r w:rsidRPr="003D45B0">
              <w:rPr>
                <w:b/>
                <w:sz w:val="24"/>
                <w:lang w:val="en-GB"/>
              </w:rPr>
              <w:t>Hospital pharmacists should ensure that compounded and produced medicines are consistently prepared to comply with national or international quality standards.</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r w:rsidR="00E80E31" w:rsidRPr="003D45B0" w:rsidTr="003D45B0">
        <w:tc>
          <w:tcPr>
            <w:tcW w:w="440" w:type="dxa"/>
          </w:tcPr>
          <w:p w:rsidR="00E80E31" w:rsidRPr="003D45B0" w:rsidRDefault="00E80E31" w:rsidP="0041053F">
            <w:pPr>
              <w:rPr>
                <w:sz w:val="24"/>
              </w:rPr>
            </w:pPr>
            <w:r w:rsidRPr="003D45B0">
              <w:rPr>
                <w:sz w:val="24"/>
              </w:rPr>
              <w:t>20</w:t>
            </w:r>
          </w:p>
        </w:tc>
        <w:tc>
          <w:tcPr>
            <w:tcW w:w="9766" w:type="dxa"/>
          </w:tcPr>
          <w:p w:rsidR="00E80E31" w:rsidRPr="003D45B0" w:rsidRDefault="00E80E31" w:rsidP="0041053F">
            <w:pPr>
              <w:rPr>
                <w:b/>
                <w:sz w:val="24"/>
                <w:lang w:val="en-GB"/>
              </w:rPr>
            </w:pPr>
            <w:r w:rsidRPr="003D45B0">
              <w:rPr>
                <w:b/>
                <w:sz w:val="24"/>
                <w:lang w:val="en-GB"/>
              </w:rPr>
              <w:t xml:space="preserve">Before preparation the pharmacist should verify whether preparations are of added value due to medical, pharmaceutical or personal reasons, needed by a specific patient or by specific population groups with particular needs. The hospital pharmacist should be able to refuse a request for a pharmacy preparation if there is a suitable commercially available pharmaceutical equivalent.  Essential information about the product, based on the product dossier should be made available to patients and other healthcare professionals. </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r w:rsidR="00E80E31" w:rsidRPr="003D45B0" w:rsidTr="003D45B0">
        <w:tc>
          <w:tcPr>
            <w:tcW w:w="440" w:type="dxa"/>
          </w:tcPr>
          <w:p w:rsidR="00E80E31" w:rsidRPr="003D45B0" w:rsidRDefault="00E80E31" w:rsidP="0041053F">
            <w:pPr>
              <w:rPr>
                <w:sz w:val="24"/>
              </w:rPr>
            </w:pPr>
            <w:r w:rsidRPr="003D45B0">
              <w:rPr>
                <w:sz w:val="24"/>
              </w:rPr>
              <w:t>21</w:t>
            </w:r>
          </w:p>
        </w:tc>
        <w:tc>
          <w:tcPr>
            <w:tcW w:w="9766" w:type="dxa"/>
          </w:tcPr>
          <w:p w:rsidR="00E80E31" w:rsidRPr="003D45B0" w:rsidRDefault="00E80E31" w:rsidP="0041053F">
            <w:pPr>
              <w:rPr>
                <w:b/>
                <w:sz w:val="24"/>
                <w:lang w:val="en-GB"/>
              </w:rPr>
            </w:pPr>
            <w:r w:rsidRPr="003D45B0">
              <w:rPr>
                <w:b/>
                <w:sz w:val="24"/>
                <w:lang w:val="en-GB"/>
              </w:rPr>
              <w:t xml:space="preserve">When making a pharmacy preparation, the pharmacist should always undertake an appropriate risk assessment in order to determine the level of the quality system which should be applied to the preparation of the medicinal product. </w:t>
            </w:r>
            <w:r w:rsidRPr="003D45B0">
              <w:rPr>
                <w:rFonts w:cs="Arial"/>
                <w:b/>
                <w:sz w:val="24"/>
                <w:lang w:val="en-GB"/>
              </w:rPr>
              <w:t>Premises, facilities and pharmaceutical knowledge should be appropriate for the preparation of the medicinal product and correct labelling should be assured through the whole process from production to administration.</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r w:rsidR="00E80E31" w:rsidRPr="003D45B0" w:rsidTr="003D45B0">
        <w:tc>
          <w:tcPr>
            <w:tcW w:w="440" w:type="dxa"/>
          </w:tcPr>
          <w:p w:rsidR="00E80E31" w:rsidRPr="003D45B0" w:rsidRDefault="00E80E31" w:rsidP="0041053F">
            <w:pPr>
              <w:rPr>
                <w:sz w:val="24"/>
              </w:rPr>
            </w:pPr>
            <w:r w:rsidRPr="003D45B0">
              <w:rPr>
                <w:sz w:val="24"/>
              </w:rPr>
              <w:t>22</w:t>
            </w:r>
          </w:p>
        </w:tc>
        <w:tc>
          <w:tcPr>
            <w:tcW w:w="9766" w:type="dxa"/>
          </w:tcPr>
          <w:p w:rsidR="00E80E31" w:rsidRPr="003D45B0" w:rsidRDefault="00E80E31" w:rsidP="0041053F">
            <w:pPr>
              <w:rPr>
                <w:i/>
                <w:sz w:val="24"/>
              </w:rPr>
            </w:pPr>
            <w:r w:rsidRPr="003D45B0">
              <w:rPr>
                <w:b/>
                <w:sz w:val="24"/>
                <w:lang w:val="en-GB"/>
              </w:rPr>
              <w:t>An appropriate system for quality control and quality assurance should be in place; ensuring traceability for pharmacy produced and compounded medicines, in the interest of patient safety.</w:t>
            </w:r>
          </w:p>
        </w:tc>
      </w:tr>
      <w:tr w:rsidR="00E80E31" w:rsidRPr="003D45B0" w:rsidTr="003D45B0">
        <w:tc>
          <w:tcPr>
            <w:tcW w:w="440" w:type="dxa"/>
          </w:tcPr>
          <w:p w:rsidR="00E80E31" w:rsidRPr="003D45B0" w:rsidRDefault="00E80E31" w:rsidP="0041053F">
            <w:pPr>
              <w:rPr>
                <w:sz w:val="24"/>
              </w:rPr>
            </w:pPr>
          </w:p>
        </w:tc>
        <w:tc>
          <w:tcPr>
            <w:tcW w:w="9766" w:type="dxa"/>
          </w:tcPr>
          <w:p w:rsidR="00E80E31" w:rsidRPr="003D45B0" w:rsidRDefault="00E80E31" w:rsidP="0041053F">
            <w:pPr>
              <w:rPr>
                <w:i/>
                <w:sz w:val="24"/>
              </w:rPr>
            </w:pPr>
          </w:p>
        </w:tc>
      </w:tr>
    </w:tbl>
    <w:p w:rsidR="00E80E31" w:rsidRPr="003D45B0" w:rsidRDefault="00E80E31" w:rsidP="00E80E31">
      <w:pPr>
        <w:rPr>
          <w:sz w:val="24"/>
        </w:rPr>
      </w:pPr>
    </w:p>
    <w:p w:rsidR="00E80E31" w:rsidRPr="003D45B0" w:rsidRDefault="00E80E31" w:rsidP="00AB563A">
      <w:pPr>
        <w:rPr>
          <w:sz w:val="24"/>
        </w:rPr>
      </w:pPr>
    </w:p>
    <w:p w:rsidR="00E80E31" w:rsidRPr="003D45B0" w:rsidRDefault="00E80E31" w:rsidP="00AB563A">
      <w:pPr>
        <w:rPr>
          <w:sz w:val="24"/>
        </w:rPr>
      </w:pPr>
    </w:p>
    <w:p w:rsidR="00E80E31" w:rsidRPr="003D45B0" w:rsidRDefault="00E80E31" w:rsidP="00AB563A">
      <w:pPr>
        <w:rPr>
          <w:sz w:val="24"/>
        </w:rPr>
      </w:pPr>
    </w:p>
    <w:p w:rsidR="00BC2CF4" w:rsidRPr="003D45B0" w:rsidRDefault="00BC2CF4" w:rsidP="00BC2CF4">
      <w:pPr>
        <w:pStyle w:val="Heading1"/>
        <w:rPr>
          <w:color w:val="4F6228" w:themeColor="accent3" w:themeShade="80"/>
          <w:sz w:val="32"/>
        </w:rPr>
      </w:pPr>
      <w:r w:rsidRPr="003D45B0">
        <w:rPr>
          <w:color w:val="4F6228" w:themeColor="accent3" w:themeShade="80"/>
          <w:sz w:val="32"/>
        </w:rPr>
        <w:lastRenderedPageBreak/>
        <w:t>Section 4: Clinical Services</w:t>
      </w:r>
    </w:p>
    <w:p w:rsidR="00BC2CF4" w:rsidRPr="003D45B0" w:rsidRDefault="00BC2CF4" w:rsidP="00BC2CF4">
      <w:pPr>
        <w:rPr>
          <w:sz w:val="24"/>
        </w:rPr>
      </w:pPr>
    </w:p>
    <w:tbl>
      <w:tblPr>
        <w:tblStyle w:val="TableGrid"/>
        <w:tblW w:w="10348" w:type="dxa"/>
        <w:tblInd w:w="-459" w:type="dxa"/>
        <w:tblLook w:val="04A0" w:firstRow="1" w:lastRow="0" w:firstColumn="1" w:lastColumn="0" w:noHBand="0" w:noVBand="1"/>
      </w:tblPr>
      <w:tblGrid>
        <w:gridCol w:w="460"/>
        <w:gridCol w:w="9888"/>
      </w:tblGrid>
      <w:tr w:rsidR="00BC2CF4" w:rsidRPr="003D45B0" w:rsidTr="00C66005">
        <w:tc>
          <w:tcPr>
            <w:tcW w:w="460" w:type="dxa"/>
          </w:tcPr>
          <w:p w:rsidR="00BC2CF4" w:rsidRPr="003D45B0" w:rsidRDefault="00BC2CF4" w:rsidP="0041053F">
            <w:pPr>
              <w:rPr>
                <w:sz w:val="24"/>
              </w:rPr>
            </w:pPr>
            <w:r w:rsidRPr="003D45B0">
              <w:rPr>
                <w:sz w:val="24"/>
              </w:rPr>
              <w:t>23</w:t>
            </w:r>
          </w:p>
        </w:tc>
        <w:tc>
          <w:tcPr>
            <w:tcW w:w="9888" w:type="dxa"/>
          </w:tcPr>
          <w:p w:rsidR="00BC2CF4" w:rsidRPr="003D45B0" w:rsidRDefault="00BC2CF4" w:rsidP="0041053F">
            <w:pPr>
              <w:rPr>
                <w:sz w:val="24"/>
              </w:rPr>
            </w:pPr>
            <w:r w:rsidRPr="003D45B0">
              <w:rPr>
                <w:b/>
                <w:sz w:val="24"/>
                <w:lang w:val="en-GB"/>
              </w:rPr>
              <w:t>Hospital pharmacists should be involved in all patient care areas to prospectively influence collaborative therapeutic decision-making and should have access to the patients’ health record.</w:t>
            </w:r>
          </w:p>
        </w:tc>
      </w:tr>
      <w:tr w:rsidR="00BC2CF4" w:rsidRPr="003D45B0" w:rsidTr="00C66005">
        <w:tc>
          <w:tcPr>
            <w:tcW w:w="460" w:type="dxa"/>
          </w:tcPr>
          <w:p w:rsidR="00BC2CF4" w:rsidRPr="003D45B0" w:rsidRDefault="00BC2CF4" w:rsidP="0041053F">
            <w:pPr>
              <w:rPr>
                <w:sz w:val="24"/>
              </w:rPr>
            </w:pPr>
          </w:p>
        </w:tc>
        <w:tc>
          <w:tcPr>
            <w:tcW w:w="9888" w:type="dxa"/>
          </w:tcPr>
          <w:p w:rsidR="00BC2CF4" w:rsidRPr="003D45B0" w:rsidRDefault="00BC2CF4" w:rsidP="0041053F">
            <w:pPr>
              <w:rPr>
                <w:i/>
                <w:sz w:val="24"/>
              </w:rPr>
            </w:pPr>
          </w:p>
        </w:tc>
      </w:tr>
      <w:tr w:rsidR="00BC2CF4" w:rsidRPr="003D45B0" w:rsidTr="00C66005">
        <w:tc>
          <w:tcPr>
            <w:tcW w:w="460" w:type="dxa"/>
          </w:tcPr>
          <w:p w:rsidR="00BC2CF4" w:rsidRPr="003D45B0" w:rsidRDefault="00BC2CF4" w:rsidP="0041053F">
            <w:pPr>
              <w:rPr>
                <w:sz w:val="24"/>
              </w:rPr>
            </w:pPr>
            <w:r w:rsidRPr="003D45B0">
              <w:rPr>
                <w:sz w:val="24"/>
              </w:rPr>
              <w:t>24</w:t>
            </w:r>
          </w:p>
        </w:tc>
        <w:tc>
          <w:tcPr>
            <w:tcW w:w="9888" w:type="dxa"/>
          </w:tcPr>
          <w:p w:rsidR="00BC2CF4" w:rsidRPr="003D45B0" w:rsidRDefault="00BC2CF4" w:rsidP="0041053F">
            <w:pPr>
              <w:rPr>
                <w:sz w:val="24"/>
              </w:rPr>
            </w:pPr>
            <w:r w:rsidRPr="003D45B0">
              <w:rPr>
                <w:b/>
                <w:sz w:val="24"/>
                <w:lang w:val="en-GB"/>
              </w:rPr>
              <w:t xml:space="preserve">Clinical pharmacy services should continuously </w:t>
            </w:r>
            <w:r w:rsidRPr="003D45B0">
              <w:rPr>
                <w:rFonts w:cs="Arial"/>
                <w:b/>
                <w:iCs/>
                <w:sz w:val="24"/>
                <w:lang w:val="en-GB"/>
              </w:rPr>
              <w:t>develop systems to improve medicine management to optimise patient outcomes.</w:t>
            </w:r>
          </w:p>
        </w:tc>
      </w:tr>
      <w:tr w:rsidR="00BC2CF4" w:rsidRPr="003D45B0" w:rsidTr="00C66005">
        <w:tc>
          <w:tcPr>
            <w:tcW w:w="460" w:type="dxa"/>
          </w:tcPr>
          <w:p w:rsidR="00BC2CF4" w:rsidRPr="003D45B0" w:rsidRDefault="00BC2CF4" w:rsidP="0041053F">
            <w:pPr>
              <w:rPr>
                <w:sz w:val="24"/>
              </w:rPr>
            </w:pPr>
          </w:p>
        </w:tc>
        <w:tc>
          <w:tcPr>
            <w:tcW w:w="9888" w:type="dxa"/>
          </w:tcPr>
          <w:p w:rsidR="00BC2CF4" w:rsidRPr="003D45B0" w:rsidRDefault="00BC2CF4" w:rsidP="0041053F">
            <w:pPr>
              <w:rPr>
                <w:i/>
                <w:sz w:val="24"/>
              </w:rPr>
            </w:pPr>
          </w:p>
        </w:tc>
      </w:tr>
      <w:tr w:rsidR="00BC2CF4" w:rsidRPr="003D45B0" w:rsidTr="00C66005">
        <w:tc>
          <w:tcPr>
            <w:tcW w:w="460" w:type="dxa"/>
          </w:tcPr>
          <w:p w:rsidR="00BC2CF4" w:rsidRPr="003D45B0" w:rsidRDefault="00BC2CF4" w:rsidP="0041053F">
            <w:pPr>
              <w:rPr>
                <w:sz w:val="24"/>
              </w:rPr>
            </w:pPr>
            <w:r w:rsidRPr="003D45B0">
              <w:rPr>
                <w:sz w:val="24"/>
              </w:rPr>
              <w:t>25</w:t>
            </w:r>
          </w:p>
        </w:tc>
        <w:tc>
          <w:tcPr>
            <w:tcW w:w="9888" w:type="dxa"/>
          </w:tcPr>
          <w:p w:rsidR="00BC2CF4" w:rsidRPr="003D45B0" w:rsidRDefault="00BC2CF4" w:rsidP="0041053F">
            <w:pPr>
              <w:rPr>
                <w:b/>
                <w:sz w:val="24"/>
                <w:lang w:val="en-GB"/>
              </w:rPr>
            </w:pPr>
            <w:r w:rsidRPr="003D45B0">
              <w:rPr>
                <w:b/>
                <w:sz w:val="24"/>
                <w:lang w:val="en-GB"/>
              </w:rPr>
              <w:t xml:space="preserve">Hospital pharmacists are an integral part of all patient care teams assisting with therapeutic decision-making and advising on clinical pharmacy and patient safety issues. </w:t>
            </w:r>
            <w:r w:rsidRPr="003D45B0">
              <w:rPr>
                <w:rFonts w:cs="Arial"/>
                <w:b/>
                <w:iCs/>
                <w:sz w:val="24"/>
                <w:lang w:val="en-GB"/>
              </w:rPr>
              <w:t>Hospital pharmacists need to be accessible</w:t>
            </w:r>
            <w:r w:rsidRPr="003D45B0" w:rsidDel="005E4DEE">
              <w:rPr>
                <w:b/>
                <w:sz w:val="24"/>
                <w:lang w:val="en-GB"/>
              </w:rPr>
              <w:t xml:space="preserve"> </w:t>
            </w:r>
            <w:r w:rsidRPr="003D45B0">
              <w:rPr>
                <w:b/>
                <w:sz w:val="24"/>
                <w:lang w:val="en-GB"/>
              </w:rPr>
              <w:t>for patients and other healthcare professionals to assist most effectively.</w:t>
            </w:r>
          </w:p>
        </w:tc>
      </w:tr>
      <w:tr w:rsidR="00BC2CF4" w:rsidRPr="003D45B0" w:rsidTr="00C66005">
        <w:tc>
          <w:tcPr>
            <w:tcW w:w="460" w:type="dxa"/>
          </w:tcPr>
          <w:p w:rsidR="00BC2CF4" w:rsidRPr="003D45B0" w:rsidRDefault="00BC2CF4" w:rsidP="0041053F">
            <w:pPr>
              <w:rPr>
                <w:sz w:val="24"/>
              </w:rPr>
            </w:pPr>
          </w:p>
        </w:tc>
        <w:tc>
          <w:tcPr>
            <w:tcW w:w="9888" w:type="dxa"/>
          </w:tcPr>
          <w:p w:rsidR="00BC2CF4" w:rsidRPr="003D45B0" w:rsidRDefault="00BC2CF4" w:rsidP="0041053F">
            <w:pPr>
              <w:rPr>
                <w:i/>
                <w:sz w:val="24"/>
              </w:rPr>
            </w:pPr>
          </w:p>
        </w:tc>
      </w:tr>
      <w:tr w:rsidR="00BC2CF4" w:rsidRPr="003D45B0" w:rsidTr="00C66005">
        <w:tc>
          <w:tcPr>
            <w:tcW w:w="460" w:type="dxa"/>
          </w:tcPr>
          <w:p w:rsidR="00BC2CF4" w:rsidRPr="003D45B0" w:rsidRDefault="00BC2CF4" w:rsidP="0041053F">
            <w:pPr>
              <w:rPr>
                <w:sz w:val="24"/>
              </w:rPr>
            </w:pPr>
            <w:r w:rsidRPr="003D45B0">
              <w:rPr>
                <w:sz w:val="24"/>
              </w:rPr>
              <w:t>26</w:t>
            </w:r>
          </w:p>
        </w:tc>
        <w:tc>
          <w:tcPr>
            <w:tcW w:w="9888" w:type="dxa"/>
          </w:tcPr>
          <w:p w:rsidR="00BC2CF4" w:rsidRPr="003D45B0" w:rsidRDefault="00BC2CF4" w:rsidP="0041053F">
            <w:pPr>
              <w:rPr>
                <w:b/>
                <w:sz w:val="24"/>
                <w:lang w:val="en-GB"/>
              </w:rPr>
            </w:pPr>
            <w:r w:rsidRPr="003D45B0">
              <w:rPr>
                <w:b/>
                <w:sz w:val="24"/>
                <w:lang w:val="en-GB"/>
              </w:rPr>
              <w:t>All prescriptions should be reviewed and validated by a hospital pharmacist prior to dispensing and administration of medication.</w:t>
            </w:r>
          </w:p>
        </w:tc>
      </w:tr>
      <w:tr w:rsidR="00BC2CF4" w:rsidRPr="003D45B0" w:rsidTr="00C66005">
        <w:tc>
          <w:tcPr>
            <w:tcW w:w="460" w:type="dxa"/>
          </w:tcPr>
          <w:p w:rsidR="00BC2CF4" w:rsidRPr="003D45B0" w:rsidRDefault="00BC2CF4" w:rsidP="0041053F">
            <w:pPr>
              <w:rPr>
                <w:sz w:val="24"/>
              </w:rPr>
            </w:pPr>
          </w:p>
        </w:tc>
        <w:tc>
          <w:tcPr>
            <w:tcW w:w="9888" w:type="dxa"/>
          </w:tcPr>
          <w:p w:rsidR="00BC2CF4" w:rsidRPr="003D45B0" w:rsidRDefault="00BC2CF4" w:rsidP="0041053F">
            <w:pPr>
              <w:rPr>
                <w:i/>
                <w:sz w:val="24"/>
              </w:rPr>
            </w:pPr>
          </w:p>
        </w:tc>
      </w:tr>
      <w:tr w:rsidR="00BC2CF4" w:rsidRPr="003D45B0" w:rsidTr="00C66005">
        <w:tc>
          <w:tcPr>
            <w:tcW w:w="460" w:type="dxa"/>
          </w:tcPr>
          <w:p w:rsidR="00BC2CF4" w:rsidRPr="003D45B0" w:rsidRDefault="00BC2CF4" w:rsidP="0041053F">
            <w:pPr>
              <w:rPr>
                <w:sz w:val="24"/>
              </w:rPr>
            </w:pPr>
            <w:r w:rsidRPr="003D45B0">
              <w:rPr>
                <w:sz w:val="24"/>
              </w:rPr>
              <w:t>27</w:t>
            </w:r>
          </w:p>
        </w:tc>
        <w:tc>
          <w:tcPr>
            <w:tcW w:w="9888" w:type="dxa"/>
          </w:tcPr>
          <w:p w:rsidR="00BC2CF4" w:rsidRPr="003D45B0" w:rsidRDefault="00BC2CF4" w:rsidP="0041053F">
            <w:pPr>
              <w:rPr>
                <w:b/>
                <w:sz w:val="24"/>
                <w:lang w:val="en-GB"/>
              </w:rPr>
            </w:pPr>
            <w:r w:rsidRPr="003D45B0">
              <w:rPr>
                <w:b/>
                <w:sz w:val="24"/>
                <w:lang w:val="en-GB"/>
              </w:rPr>
              <w:t>Pharmacists’ clinical interventions should be documented in the patients’ health record.</w:t>
            </w:r>
          </w:p>
        </w:tc>
      </w:tr>
      <w:tr w:rsidR="00BC2CF4" w:rsidRPr="003D45B0" w:rsidTr="00C66005">
        <w:tc>
          <w:tcPr>
            <w:tcW w:w="460" w:type="dxa"/>
          </w:tcPr>
          <w:p w:rsidR="00BC2CF4" w:rsidRPr="003D45B0" w:rsidRDefault="00BC2CF4" w:rsidP="0041053F">
            <w:pPr>
              <w:rPr>
                <w:sz w:val="24"/>
              </w:rPr>
            </w:pPr>
          </w:p>
        </w:tc>
        <w:tc>
          <w:tcPr>
            <w:tcW w:w="9888" w:type="dxa"/>
          </w:tcPr>
          <w:p w:rsidR="00BC2CF4" w:rsidRPr="003D45B0" w:rsidRDefault="00BC2CF4" w:rsidP="0041053F">
            <w:pPr>
              <w:rPr>
                <w:i/>
                <w:sz w:val="24"/>
              </w:rPr>
            </w:pPr>
          </w:p>
        </w:tc>
      </w:tr>
      <w:tr w:rsidR="00BC2CF4" w:rsidRPr="003D45B0" w:rsidTr="00C66005">
        <w:tc>
          <w:tcPr>
            <w:tcW w:w="460" w:type="dxa"/>
          </w:tcPr>
          <w:p w:rsidR="00BC2CF4" w:rsidRPr="003D45B0" w:rsidRDefault="00BC2CF4" w:rsidP="00BC2CF4">
            <w:pPr>
              <w:rPr>
                <w:sz w:val="24"/>
              </w:rPr>
            </w:pPr>
            <w:r w:rsidRPr="003D45B0">
              <w:rPr>
                <w:sz w:val="24"/>
              </w:rPr>
              <w:t>28</w:t>
            </w:r>
          </w:p>
        </w:tc>
        <w:tc>
          <w:tcPr>
            <w:tcW w:w="9888" w:type="dxa"/>
          </w:tcPr>
          <w:p w:rsidR="00BC2CF4" w:rsidRPr="003D45B0" w:rsidRDefault="00BC2CF4" w:rsidP="0041053F">
            <w:pPr>
              <w:rPr>
                <w:b/>
                <w:sz w:val="24"/>
                <w:lang w:val="en-GB"/>
              </w:rPr>
            </w:pPr>
            <w:r w:rsidRPr="003D45B0">
              <w:rPr>
                <w:b/>
                <w:sz w:val="24"/>
                <w:lang w:val="en-GB"/>
              </w:rPr>
              <w:t>Hospital pharmacists should promote seamless care by contributing to medication information transfer whenever patients move between healthcare settings in or outside the hospital.</w:t>
            </w:r>
          </w:p>
        </w:tc>
      </w:tr>
      <w:tr w:rsidR="00BC2CF4" w:rsidRPr="003D45B0" w:rsidTr="00C66005">
        <w:tc>
          <w:tcPr>
            <w:tcW w:w="460" w:type="dxa"/>
          </w:tcPr>
          <w:p w:rsidR="00BC2CF4" w:rsidRPr="003D45B0" w:rsidRDefault="00BC2CF4" w:rsidP="0041053F">
            <w:pPr>
              <w:rPr>
                <w:sz w:val="24"/>
              </w:rPr>
            </w:pPr>
          </w:p>
        </w:tc>
        <w:tc>
          <w:tcPr>
            <w:tcW w:w="9888" w:type="dxa"/>
          </w:tcPr>
          <w:p w:rsidR="00BC2CF4" w:rsidRPr="003D45B0" w:rsidRDefault="00BC2CF4" w:rsidP="0041053F">
            <w:pPr>
              <w:rPr>
                <w:i/>
                <w:sz w:val="24"/>
              </w:rPr>
            </w:pPr>
          </w:p>
        </w:tc>
      </w:tr>
      <w:tr w:rsidR="00BC2CF4" w:rsidRPr="003D45B0" w:rsidTr="00C66005">
        <w:tc>
          <w:tcPr>
            <w:tcW w:w="460" w:type="dxa"/>
          </w:tcPr>
          <w:p w:rsidR="00BC2CF4" w:rsidRPr="003D45B0" w:rsidRDefault="00BC2CF4" w:rsidP="00BC2CF4">
            <w:pPr>
              <w:rPr>
                <w:sz w:val="24"/>
              </w:rPr>
            </w:pPr>
            <w:r w:rsidRPr="003D45B0">
              <w:rPr>
                <w:sz w:val="24"/>
              </w:rPr>
              <w:t>29</w:t>
            </w:r>
          </w:p>
        </w:tc>
        <w:tc>
          <w:tcPr>
            <w:tcW w:w="9888" w:type="dxa"/>
          </w:tcPr>
          <w:p w:rsidR="00BC2CF4" w:rsidRPr="003D45B0" w:rsidRDefault="00BC2CF4" w:rsidP="0041053F">
            <w:pPr>
              <w:rPr>
                <w:b/>
                <w:sz w:val="24"/>
                <w:lang w:val="en-GB"/>
              </w:rPr>
            </w:pPr>
            <w:r w:rsidRPr="003D45B0">
              <w:rPr>
                <w:b/>
                <w:sz w:val="24"/>
                <w:lang w:val="en-GB"/>
              </w:rPr>
              <w:t>Hospital pharmacists should ensure that patients are educated on the appropriate use of their medicines.</w:t>
            </w:r>
          </w:p>
        </w:tc>
      </w:tr>
      <w:tr w:rsidR="00BC2CF4" w:rsidRPr="003D45B0" w:rsidTr="00C66005">
        <w:tc>
          <w:tcPr>
            <w:tcW w:w="460" w:type="dxa"/>
          </w:tcPr>
          <w:p w:rsidR="00BC2CF4" w:rsidRPr="003D45B0" w:rsidRDefault="00BC2CF4" w:rsidP="0041053F">
            <w:pPr>
              <w:rPr>
                <w:sz w:val="24"/>
              </w:rPr>
            </w:pPr>
          </w:p>
        </w:tc>
        <w:tc>
          <w:tcPr>
            <w:tcW w:w="9888" w:type="dxa"/>
          </w:tcPr>
          <w:p w:rsidR="00BC2CF4" w:rsidRPr="003D45B0" w:rsidRDefault="00BC2CF4" w:rsidP="0041053F">
            <w:pPr>
              <w:rPr>
                <w:i/>
                <w:sz w:val="24"/>
              </w:rPr>
            </w:pPr>
          </w:p>
        </w:tc>
      </w:tr>
      <w:tr w:rsidR="00C66005" w:rsidRPr="003D45B0" w:rsidTr="00C66005">
        <w:tc>
          <w:tcPr>
            <w:tcW w:w="460" w:type="dxa"/>
          </w:tcPr>
          <w:p w:rsidR="00C66005" w:rsidRPr="003D45B0" w:rsidRDefault="00C66005" w:rsidP="005939D0">
            <w:pPr>
              <w:rPr>
                <w:sz w:val="24"/>
              </w:rPr>
            </w:pPr>
            <w:r>
              <w:rPr>
                <w:sz w:val="24"/>
              </w:rPr>
              <w:t>30</w:t>
            </w:r>
          </w:p>
        </w:tc>
        <w:tc>
          <w:tcPr>
            <w:tcW w:w="9888" w:type="dxa"/>
          </w:tcPr>
          <w:p w:rsidR="00C66005" w:rsidRPr="003D45B0" w:rsidRDefault="00C66005" w:rsidP="005939D0">
            <w:pPr>
              <w:rPr>
                <w:i/>
                <w:sz w:val="24"/>
              </w:rPr>
            </w:pPr>
            <w:r w:rsidRPr="003D45B0">
              <w:rPr>
                <w:b/>
                <w:sz w:val="24"/>
                <w:lang w:val="en-GB"/>
              </w:rPr>
              <w:t xml:space="preserve">Pharmacists should inform and advise on and oversee the use of medicines outside of their marketing authorisation (off label use).  </w:t>
            </w:r>
          </w:p>
        </w:tc>
      </w:tr>
    </w:tbl>
    <w:p w:rsidR="00E80E31" w:rsidRPr="003D45B0" w:rsidRDefault="00E80E31" w:rsidP="00AB563A">
      <w:pPr>
        <w:rPr>
          <w:sz w:val="24"/>
        </w:rPr>
      </w:pPr>
    </w:p>
    <w:p w:rsidR="00BC2CF4" w:rsidRPr="003D45B0" w:rsidRDefault="00BC2CF4" w:rsidP="00AB563A">
      <w:pPr>
        <w:rPr>
          <w:sz w:val="24"/>
        </w:rPr>
      </w:pPr>
    </w:p>
    <w:p w:rsidR="00BC2CF4" w:rsidRPr="003D45B0" w:rsidRDefault="00BC2CF4">
      <w:pPr>
        <w:rPr>
          <w:rFonts w:asciiTheme="majorHAnsi" w:eastAsiaTheme="majorEastAsia" w:hAnsiTheme="majorHAnsi" w:cstheme="majorBidi"/>
          <w:b/>
          <w:bCs/>
          <w:color w:val="4F6228" w:themeColor="accent3" w:themeShade="80"/>
          <w:sz w:val="32"/>
          <w:szCs w:val="28"/>
        </w:rPr>
      </w:pPr>
      <w:r w:rsidRPr="003D45B0">
        <w:rPr>
          <w:color w:val="4F6228" w:themeColor="accent3" w:themeShade="80"/>
          <w:sz w:val="24"/>
        </w:rPr>
        <w:br w:type="page"/>
      </w:r>
    </w:p>
    <w:p w:rsidR="00BC2CF4" w:rsidRPr="003D45B0" w:rsidRDefault="00BC2CF4" w:rsidP="00BC2CF4">
      <w:pPr>
        <w:pStyle w:val="Heading1"/>
        <w:rPr>
          <w:color w:val="4F6228" w:themeColor="accent3" w:themeShade="80"/>
          <w:sz w:val="32"/>
        </w:rPr>
      </w:pPr>
      <w:r w:rsidRPr="003D45B0">
        <w:rPr>
          <w:color w:val="4F6228" w:themeColor="accent3" w:themeShade="80"/>
          <w:sz w:val="32"/>
        </w:rPr>
        <w:lastRenderedPageBreak/>
        <w:t>Section 5: Patient Safety and Quality Assurance</w:t>
      </w:r>
    </w:p>
    <w:tbl>
      <w:tblPr>
        <w:tblStyle w:val="TableGrid"/>
        <w:tblW w:w="9923" w:type="dxa"/>
        <w:tblInd w:w="-459" w:type="dxa"/>
        <w:tblLook w:val="04A0" w:firstRow="1" w:lastRow="0" w:firstColumn="1" w:lastColumn="0" w:noHBand="0" w:noVBand="1"/>
      </w:tblPr>
      <w:tblGrid>
        <w:gridCol w:w="460"/>
        <w:gridCol w:w="9463"/>
      </w:tblGrid>
      <w:tr w:rsidR="00BC2CF4" w:rsidRPr="003D45B0" w:rsidTr="003D45B0">
        <w:tc>
          <w:tcPr>
            <w:tcW w:w="460" w:type="dxa"/>
          </w:tcPr>
          <w:p w:rsidR="00BC2CF4" w:rsidRPr="003D45B0" w:rsidRDefault="00C66005" w:rsidP="0041053F">
            <w:pPr>
              <w:rPr>
                <w:sz w:val="24"/>
              </w:rPr>
            </w:pPr>
            <w:r>
              <w:rPr>
                <w:sz w:val="24"/>
              </w:rPr>
              <w:t>31</w:t>
            </w:r>
          </w:p>
        </w:tc>
        <w:tc>
          <w:tcPr>
            <w:tcW w:w="9463" w:type="dxa"/>
          </w:tcPr>
          <w:p w:rsidR="00BC2CF4" w:rsidRPr="003D45B0" w:rsidRDefault="00BC2CF4" w:rsidP="0041053F">
            <w:pPr>
              <w:rPr>
                <w:sz w:val="24"/>
              </w:rPr>
            </w:pPr>
            <w:r w:rsidRPr="003D45B0">
              <w:rPr>
                <w:b/>
                <w:sz w:val="24"/>
                <w:lang w:val="en-GB"/>
              </w:rPr>
              <w:t>The “seven rights” (the right patient, right medicine, right dose, right route, right time, right information and right documentation) should be fulfilled in all medicines-related activities in the hospital.</w:t>
            </w:r>
          </w:p>
        </w:tc>
      </w:tr>
      <w:tr w:rsidR="00BC2CF4" w:rsidRPr="003D45B0" w:rsidTr="003D45B0">
        <w:tc>
          <w:tcPr>
            <w:tcW w:w="460" w:type="dxa"/>
          </w:tcPr>
          <w:p w:rsidR="00BC2CF4" w:rsidRPr="003D45B0" w:rsidRDefault="00BC2CF4" w:rsidP="0041053F">
            <w:pPr>
              <w:rPr>
                <w:sz w:val="24"/>
              </w:rPr>
            </w:pPr>
          </w:p>
        </w:tc>
        <w:tc>
          <w:tcPr>
            <w:tcW w:w="9463" w:type="dxa"/>
          </w:tcPr>
          <w:p w:rsidR="00BC2CF4" w:rsidRPr="003D45B0" w:rsidRDefault="00BC2CF4" w:rsidP="0041053F">
            <w:pPr>
              <w:rPr>
                <w:i/>
                <w:sz w:val="24"/>
              </w:rPr>
            </w:pPr>
          </w:p>
        </w:tc>
      </w:tr>
      <w:tr w:rsidR="00BC2CF4" w:rsidRPr="003D45B0" w:rsidTr="003D45B0">
        <w:tc>
          <w:tcPr>
            <w:tcW w:w="460" w:type="dxa"/>
          </w:tcPr>
          <w:p w:rsidR="00BC2CF4" w:rsidRPr="003D45B0" w:rsidRDefault="00C66005" w:rsidP="0041053F">
            <w:pPr>
              <w:rPr>
                <w:sz w:val="24"/>
              </w:rPr>
            </w:pPr>
            <w:r>
              <w:rPr>
                <w:sz w:val="24"/>
              </w:rPr>
              <w:t>32</w:t>
            </w:r>
          </w:p>
        </w:tc>
        <w:tc>
          <w:tcPr>
            <w:tcW w:w="9463" w:type="dxa"/>
          </w:tcPr>
          <w:p w:rsidR="00BC2CF4" w:rsidRPr="003D45B0" w:rsidRDefault="00713E64" w:rsidP="0041053F">
            <w:pPr>
              <w:rPr>
                <w:sz w:val="24"/>
              </w:rPr>
            </w:pPr>
            <w:r w:rsidRPr="003D45B0">
              <w:rPr>
                <w:b/>
                <w:sz w:val="24"/>
                <w:lang w:val="en-GB"/>
              </w:rPr>
              <w:t>Hospital medication practices should be reviewed by an external quality assessment accreditation program. Hospitals should act on reports following regular external quality assessment inspections to improve the quality and safety of their practices.</w:t>
            </w:r>
          </w:p>
        </w:tc>
      </w:tr>
      <w:tr w:rsidR="00BC2CF4" w:rsidRPr="003D45B0" w:rsidTr="003D45B0">
        <w:tc>
          <w:tcPr>
            <w:tcW w:w="460" w:type="dxa"/>
          </w:tcPr>
          <w:p w:rsidR="00BC2CF4" w:rsidRPr="003D45B0" w:rsidRDefault="00BC2CF4" w:rsidP="0041053F">
            <w:pPr>
              <w:rPr>
                <w:sz w:val="24"/>
              </w:rPr>
            </w:pPr>
          </w:p>
        </w:tc>
        <w:tc>
          <w:tcPr>
            <w:tcW w:w="9463" w:type="dxa"/>
          </w:tcPr>
          <w:p w:rsidR="00BC2CF4" w:rsidRPr="003D45B0" w:rsidRDefault="00BC2CF4" w:rsidP="0041053F">
            <w:pPr>
              <w:rPr>
                <w:i/>
                <w:sz w:val="24"/>
              </w:rPr>
            </w:pPr>
          </w:p>
        </w:tc>
      </w:tr>
      <w:tr w:rsidR="00BC2CF4" w:rsidRPr="003D45B0" w:rsidTr="003D45B0">
        <w:tc>
          <w:tcPr>
            <w:tcW w:w="460" w:type="dxa"/>
          </w:tcPr>
          <w:p w:rsidR="00BC2CF4" w:rsidRPr="003D45B0" w:rsidRDefault="00C66005" w:rsidP="0041053F">
            <w:pPr>
              <w:rPr>
                <w:sz w:val="24"/>
              </w:rPr>
            </w:pPr>
            <w:r>
              <w:rPr>
                <w:sz w:val="24"/>
              </w:rPr>
              <w:t>33</w:t>
            </w:r>
          </w:p>
        </w:tc>
        <w:tc>
          <w:tcPr>
            <w:tcW w:w="9463" w:type="dxa"/>
          </w:tcPr>
          <w:p w:rsidR="00BC2CF4" w:rsidRPr="003D45B0" w:rsidRDefault="00713E64" w:rsidP="0041053F">
            <w:pPr>
              <w:rPr>
                <w:b/>
                <w:sz w:val="24"/>
                <w:lang w:val="en-GB"/>
              </w:rPr>
            </w:pPr>
            <w:r w:rsidRPr="003D45B0">
              <w:rPr>
                <w:b/>
                <w:sz w:val="24"/>
                <w:lang w:val="en-GB"/>
              </w:rPr>
              <w:t>Hospital pharmacists should ensure the development of quality assurance strategies for medication practices, including the use of observation methodology and Clinical Incident Reporting System (CIRS) to detect errors and identify priorities for improvement.</w:t>
            </w:r>
          </w:p>
        </w:tc>
      </w:tr>
      <w:tr w:rsidR="00BC2CF4" w:rsidRPr="003D45B0" w:rsidTr="003D45B0">
        <w:tc>
          <w:tcPr>
            <w:tcW w:w="460" w:type="dxa"/>
          </w:tcPr>
          <w:p w:rsidR="00BC2CF4" w:rsidRPr="003D45B0" w:rsidRDefault="00BC2CF4" w:rsidP="0041053F">
            <w:pPr>
              <w:rPr>
                <w:sz w:val="24"/>
              </w:rPr>
            </w:pPr>
          </w:p>
        </w:tc>
        <w:tc>
          <w:tcPr>
            <w:tcW w:w="9463" w:type="dxa"/>
          </w:tcPr>
          <w:p w:rsidR="00BC2CF4" w:rsidRPr="003D45B0" w:rsidRDefault="00BC2CF4" w:rsidP="0041053F">
            <w:pPr>
              <w:rPr>
                <w:i/>
                <w:sz w:val="24"/>
              </w:rPr>
            </w:pPr>
          </w:p>
        </w:tc>
      </w:tr>
      <w:tr w:rsidR="00BC2CF4" w:rsidRPr="003D45B0" w:rsidTr="003D45B0">
        <w:tc>
          <w:tcPr>
            <w:tcW w:w="460" w:type="dxa"/>
          </w:tcPr>
          <w:p w:rsidR="00BC2CF4" w:rsidRPr="003D45B0" w:rsidRDefault="00C66005" w:rsidP="0041053F">
            <w:pPr>
              <w:rPr>
                <w:sz w:val="24"/>
              </w:rPr>
            </w:pPr>
            <w:r>
              <w:rPr>
                <w:sz w:val="24"/>
              </w:rPr>
              <w:t>34</w:t>
            </w:r>
          </w:p>
        </w:tc>
        <w:tc>
          <w:tcPr>
            <w:tcW w:w="9463" w:type="dxa"/>
          </w:tcPr>
          <w:p w:rsidR="00BC2CF4" w:rsidRPr="003D45B0" w:rsidRDefault="00713E64" w:rsidP="0041053F">
            <w:pPr>
              <w:rPr>
                <w:b/>
                <w:sz w:val="24"/>
                <w:lang w:val="en-GB"/>
              </w:rPr>
            </w:pPr>
            <w:r w:rsidRPr="003D45B0">
              <w:rPr>
                <w:b/>
                <w:sz w:val="24"/>
                <w:lang w:val="en-GB"/>
              </w:rPr>
              <w:t>Hospital pharmacists should decrease the risk of medication errors by implementing evidence-based systems or technologies systems.</w:t>
            </w:r>
          </w:p>
        </w:tc>
      </w:tr>
      <w:tr w:rsidR="00BC2CF4" w:rsidRPr="003D45B0" w:rsidTr="003D45B0">
        <w:tc>
          <w:tcPr>
            <w:tcW w:w="460" w:type="dxa"/>
          </w:tcPr>
          <w:p w:rsidR="00BC2CF4" w:rsidRPr="003D45B0" w:rsidRDefault="00BC2CF4" w:rsidP="0041053F">
            <w:pPr>
              <w:rPr>
                <w:sz w:val="24"/>
              </w:rPr>
            </w:pPr>
          </w:p>
        </w:tc>
        <w:tc>
          <w:tcPr>
            <w:tcW w:w="9463" w:type="dxa"/>
          </w:tcPr>
          <w:p w:rsidR="00BC2CF4" w:rsidRPr="003D45B0" w:rsidRDefault="00BC2CF4" w:rsidP="0041053F">
            <w:pPr>
              <w:rPr>
                <w:i/>
                <w:sz w:val="24"/>
              </w:rPr>
            </w:pPr>
          </w:p>
        </w:tc>
      </w:tr>
      <w:tr w:rsidR="00BC2CF4" w:rsidRPr="003D45B0" w:rsidTr="003D45B0">
        <w:tc>
          <w:tcPr>
            <w:tcW w:w="460" w:type="dxa"/>
          </w:tcPr>
          <w:p w:rsidR="00BC2CF4" w:rsidRPr="003D45B0" w:rsidRDefault="00C66005" w:rsidP="0041053F">
            <w:pPr>
              <w:rPr>
                <w:sz w:val="24"/>
              </w:rPr>
            </w:pPr>
            <w:r>
              <w:rPr>
                <w:sz w:val="24"/>
              </w:rPr>
              <w:t>35</w:t>
            </w:r>
          </w:p>
        </w:tc>
        <w:tc>
          <w:tcPr>
            <w:tcW w:w="9463" w:type="dxa"/>
          </w:tcPr>
          <w:p w:rsidR="00BC2CF4" w:rsidRPr="003D45B0" w:rsidRDefault="00713E64" w:rsidP="0041053F">
            <w:pPr>
              <w:rPr>
                <w:b/>
                <w:sz w:val="24"/>
                <w:lang w:val="en-GB"/>
              </w:rPr>
            </w:pPr>
            <w:r w:rsidRPr="003D45B0">
              <w:rPr>
                <w:b/>
                <w:sz w:val="24"/>
                <w:lang w:val="en-GB"/>
              </w:rPr>
              <w:t xml:space="preserve">The medicines administration process should be designed so that transcription steps between the original prescription and the medicines administration record are </w:t>
            </w:r>
            <w:r w:rsidRPr="003D45B0">
              <w:rPr>
                <w:rFonts w:cs="Arial"/>
                <w:b/>
                <w:iCs/>
                <w:sz w:val="24"/>
                <w:lang w:val="en-GB"/>
              </w:rPr>
              <w:t>reduced to the minimum</w:t>
            </w:r>
            <w:r w:rsidRPr="003D45B0">
              <w:rPr>
                <w:b/>
                <w:sz w:val="24"/>
                <w:lang w:val="en-GB"/>
              </w:rPr>
              <w:t>.</w:t>
            </w:r>
          </w:p>
        </w:tc>
      </w:tr>
      <w:tr w:rsidR="00BC2CF4" w:rsidRPr="003D45B0" w:rsidTr="003D45B0">
        <w:tc>
          <w:tcPr>
            <w:tcW w:w="460" w:type="dxa"/>
          </w:tcPr>
          <w:p w:rsidR="00BC2CF4" w:rsidRPr="003D45B0" w:rsidRDefault="00BC2CF4" w:rsidP="0041053F">
            <w:pPr>
              <w:rPr>
                <w:sz w:val="24"/>
              </w:rPr>
            </w:pPr>
          </w:p>
        </w:tc>
        <w:tc>
          <w:tcPr>
            <w:tcW w:w="9463" w:type="dxa"/>
          </w:tcPr>
          <w:p w:rsidR="00BC2CF4" w:rsidRPr="003D45B0" w:rsidRDefault="00BC2CF4" w:rsidP="0041053F">
            <w:pPr>
              <w:rPr>
                <w:i/>
                <w:sz w:val="24"/>
              </w:rPr>
            </w:pPr>
          </w:p>
        </w:tc>
      </w:tr>
      <w:tr w:rsidR="00BC2CF4" w:rsidRPr="003D45B0" w:rsidTr="003D45B0">
        <w:tc>
          <w:tcPr>
            <w:tcW w:w="460" w:type="dxa"/>
          </w:tcPr>
          <w:p w:rsidR="00BC2CF4" w:rsidRPr="003D45B0" w:rsidRDefault="00C66005" w:rsidP="0041053F">
            <w:pPr>
              <w:rPr>
                <w:sz w:val="24"/>
              </w:rPr>
            </w:pPr>
            <w:r>
              <w:rPr>
                <w:sz w:val="24"/>
              </w:rPr>
              <w:t>36</w:t>
            </w:r>
          </w:p>
        </w:tc>
        <w:tc>
          <w:tcPr>
            <w:tcW w:w="9463" w:type="dxa"/>
          </w:tcPr>
          <w:p w:rsidR="00BC2CF4" w:rsidRPr="003D45B0" w:rsidRDefault="00713E64" w:rsidP="0041053F">
            <w:pPr>
              <w:rPr>
                <w:b/>
                <w:sz w:val="24"/>
                <w:lang w:val="en-GB"/>
              </w:rPr>
            </w:pPr>
            <w:r w:rsidRPr="003D45B0">
              <w:rPr>
                <w:b/>
                <w:sz w:val="24"/>
                <w:lang w:val="en-GB"/>
              </w:rPr>
              <w:t xml:space="preserve">High risk medicines should be identified and appropriate procedures implemented that assure additional checks </w:t>
            </w:r>
            <w:r w:rsidRPr="003D45B0">
              <w:rPr>
                <w:rFonts w:cs="Arial"/>
                <w:b/>
                <w:iCs/>
                <w:sz w:val="24"/>
                <w:lang w:val="en-GB"/>
              </w:rPr>
              <w:t xml:space="preserve">or other error prevention strategies </w:t>
            </w:r>
            <w:r w:rsidRPr="003D45B0">
              <w:rPr>
                <w:b/>
                <w:sz w:val="24"/>
                <w:lang w:val="en-GB"/>
              </w:rPr>
              <w:t>prior to dispensing and administration.</w:t>
            </w:r>
          </w:p>
        </w:tc>
      </w:tr>
      <w:tr w:rsidR="00BC2CF4" w:rsidRPr="003D45B0" w:rsidTr="003D45B0">
        <w:tc>
          <w:tcPr>
            <w:tcW w:w="460" w:type="dxa"/>
          </w:tcPr>
          <w:p w:rsidR="00BC2CF4" w:rsidRPr="003D45B0" w:rsidRDefault="00BC2CF4" w:rsidP="0041053F">
            <w:pPr>
              <w:rPr>
                <w:sz w:val="24"/>
              </w:rPr>
            </w:pPr>
          </w:p>
        </w:tc>
        <w:tc>
          <w:tcPr>
            <w:tcW w:w="9463" w:type="dxa"/>
          </w:tcPr>
          <w:p w:rsidR="00BC2CF4" w:rsidRPr="003D45B0" w:rsidRDefault="00BC2CF4" w:rsidP="0041053F">
            <w:pPr>
              <w:rPr>
                <w:i/>
                <w:sz w:val="24"/>
              </w:rPr>
            </w:pPr>
          </w:p>
        </w:tc>
      </w:tr>
      <w:tr w:rsidR="00BC2CF4" w:rsidRPr="003D45B0" w:rsidTr="003D45B0">
        <w:tc>
          <w:tcPr>
            <w:tcW w:w="460" w:type="dxa"/>
          </w:tcPr>
          <w:p w:rsidR="00BC2CF4" w:rsidRPr="003D45B0" w:rsidRDefault="00C66005" w:rsidP="0041053F">
            <w:pPr>
              <w:rPr>
                <w:sz w:val="24"/>
              </w:rPr>
            </w:pPr>
            <w:r>
              <w:rPr>
                <w:sz w:val="24"/>
              </w:rPr>
              <w:t>37</w:t>
            </w:r>
          </w:p>
        </w:tc>
        <w:tc>
          <w:tcPr>
            <w:tcW w:w="9463" w:type="dxa"/>
          </w:tcPr>
          <w:p w:rsidR="00BC2CF4" w:rsidRPr="003D45B0" w:rsidRDefault="00713E64" w:rsidP="0041053F">
            <w:pPr>
              <w:rPr>
                <w:b/>
                <w:sz w:val="24"/>
                <w:lang w:val="en-GB"/>
              </w:rPr>
            </w:pPr>
            <w:r w:rsidRPr="003D45B0">
              <w:rPr>
                <w:b/>
                <w:sz w:val="24"/>
                <w:lang w:val="en-GB"/>
              </w:rPr>
              <w:t xml:space="preserve">Hospital pharmacists should ensure that medicines are </w:t>
            </w:r>
            <w:r w:rsidRPr="003D45B0">
              <w:rPr>
                <w:rFonts w:cs="Arial"/>
                <w:b/>
                <w:iCs/>
                <w:sz w:val="24"/>
                <w:lang w:val="en-GB"/>
              </w:rPr>
              <w:t>securely</w:t>
            </w:r>
            <w:r w:rsidRPr="003D45B0">
              <w:rPr>
                <w:b/>
                <w:sz w:val="24"/>
                <w:lang w:val="en-GB"/>
              </w:rPr>
              <w:t xml:space="preserve"> stored throughout the hospital and are packaged and labelled so to assure identification, maintain integrity until immediately prior to use and facilitate correct administration.</w:t>
            </w:r>
          </w:p>
        </w:tc>
      </w:tr>
      <w:tr w:rsidR="00BC2CF4" w:rsidRPr="003D45B0" w:rsidTr="003D45B0">
        <w:tc>
          <w:tcPr>
            <w:tcW w:w="460" w:type="dxa"/>
          </w:tcPr>
          <w:p w:rsidR="00BC2CF4" w:rsidRPr="003D45B0" w:rsidRDefault="00BC2CF4" w:rsidP="0041053F">
            <w:pPr>
              <w:rPr>
                <w:sz w:val="24"/>
              </w:rPr>
            </w:pPr>
          </w:p>
        </w:tc>
        <w:tc>
          <w:tcPr>
            <w:tcW w:w="9463" w:type="dxa"/>
          </w:tcPr>
          <w:p w:rsidR="00BC2CF4" w:rsidRPr="003D45B0" w:rsidRDefault="00BC2CF4" w:rsidP="0041053F">
            <w:pPr>
              <w:rPr>
                <w:i/>
                <w:sz w:val="24"/>
              </w:rPr>
            </w:pPr>
          </w:p>
        </w:tc>
      </w:tr>
      <w:tr w:rsidR="00713E64" w:rsidRPr="003D45B0" w:rsidTr="003D45B0">
        <w:tc>
          <w:tcPr>
            <w:tcW w:w="460" w:type="dxa"/>
          </w:tcPr>
          <w:p w:rsidR="00713E64" w:rsidRPr="003D45B0" w:rsidRDefault="00C66005" w:rsidP="0041053F">
            <w:pPr>
              <w:rPr>
                <w:sz w:val="24"/>
              </w:rPr>
            </w:pPr>
            <w:r>
              <w:rPr>
                <w:sz w:val="24"/>
              </w:rPr>
              <w:t>38</w:t>
            </w:r>
          </w:p>
        </w:tc>
        <w:tc>
          <w:tcPr>
            <w:tcW w:w="9463" w:type="dxa"/>
          </w:tcPr>
          <w:p w:rsidR="00713E64" w:rsidRPr="003D45B0" w:rsidRDefault="00713E64" w:rsidP="0041053F">
            <w:pPr>
              <w:rPr>
                <w:i/>
                <w:sz w:val="24"/>
              </w:rPr>
            </w:pPr>
            <w:r w:rsidRPr="003D45B0">
              <w:rPr>
                <w:b/>
                <w:sz w:val="24"/>
                <w:lang w:val="en-GB"/>
              </w:rPr>
              <w:t xml:space="preserve">Hospital pharmacists should promote the reporting of adverse drug reactions and notification to regional or national </w:t>
            </w:r>
            <w:proofErr w:type="spellStart"/>
            <w:r w:rsidRPr="003D45B0">
              <w:rPr>
                <w:b/>
                <w:sz w:val="24"/>
                <w:lang w:val="en-GB"/>
              </w:rPr>
              <w:t>pharmacovigilance</w:t>
            </w:r>
            <w:proofErr w:type="spellEnd"/>
            <w:r w:rsidRPr="003D45B0">
              <w:rPr>
                <w:b/>
                <w:sz w:val="24"/>
                <w:lang w:val="en-GB"/>
              </w:rPr>
              <w:t xml:space="preserve"> reporting programs where these are available. The monitoring data should be regularly reviewed to improve the quality and safety of medication practices.</w:t>
            </w:r>
          </w:p>
        </w:tc>
      </w:tr>
      <w:tr w:rsidR="00713E64" w:rsidRPr="003D45B0" w:rsidTr="003D45B0">
        <w:tc>
          <w:tcPr>
            <w:tcW w:w="460" w:type="dxa"/>
          </w:tcPr>
          <w:p w:rsidR="00713E64" w:rsidRPr="003D45B0" w:rsidRDefault="00713E64" w:rsidP="0041053F">
            <w:pPr>
              <w:rPr>
                <w:sz w:val="24"/>
              </w:rPr>
            </w:pPr>
          </w:p>
        </w:tc>
        <w:tc>
          <w:tcPr>
            <w:tcW w:w="9463" w:type="dxa"/>
          </w:tcPr>
          <w:p w:rsidR="00713E64" w:rsidRPr="003D45B0" w:rsidRDefault="00713E64" w:rsidP="0041053F">
            <w:pPr>
              <w:rPr>
                <w:i/>
                <w:sz w:val="24"/>
              </w:rPr>
            </w:pPr>
          </w:p>
        </w:tc>
      </w:tr>
      <w:tr w:rsidR="00713E64" w:rsidRPr="003D45B0" w:rsidTr="003D45B0">
        <w:tc>
          <w:tcPr>
            <w:tcW w:w="460" w:type="dxa"/>
          </w:tcPr>
          <w:p w:rsidR="00713E64" w:rsidRPr="003D45B0" w:rsidRDefault="00C66005" w:rsidP="0041053F">
            <w:pPr>
              <w:rPr>
                <w:sz w:val="24"/>
              </w:rPr>
            </w:pPr>
            <w:r>
              <w:rPr>
                <w:sz w:val="24"/>
              </w:rPr>
              <w:t>39</w:t>
            </w:r>
          </w:p>
        </w:tc>
        <w:tc>
          <w:tcPr>
            <w:tcW w:w="9463" w:type="dxa"/>
          </w:tcPr>
          <w:p w:rsidR="00713E64" w:rsidRPr="003D45B0" w:rsidRDefault="00713E64" w:rsidP="0041053F">
            <w:pPr>
              <w:rPr>
                <w:b/>
                <w:sz w:val="24"/>
                <w:lang w:val="en-GB"/>
              </w:rPr>
            </w:pPr>
            <w:r w:rsidRPr="003D45B0">
              <w:rPr>
                <w:b/>
                <w:sz w:val="24"/>
                <w:lang w:val="en-GB"/>
              </w:rPr>
              <w:t>Hospital pharmacists should promote accurate recording of all allergies and contraindications in the patients’ health record. This information should be accessible and evaluated prior to prescription, dispensing and administration of medicines.</w:t>
            </w:r>
          </w:p>
        </w:tc>
      </w:tr>
      <w:tr w:rsidR="00713E64" w:rsidRPr="003D45B0" w:rsidTr="003D45B0">
        <w:tc>
          <w:tcPr>
            <w:tcW w:w="460" w:type="dxa"/>
          </w:tcPr>
          <w:p w:rsidR="00713E64" w:rsidRPr="003D45B0" w:rsidRDefault="00713E64" w:rsidP="0041053F">
            <w:pPr>
              <w:rPr>
                <w:sz w:val="24"/>
              </w:rPr>
            </w:pPr>
          </w:p>
        </w:tc>
        <w:tc>
          <w:tcPr>
            <w:tcW w:w="9463" w:type="dxa"/>
          </w:tcPr>
          <w:p w:rsidR="00713E64" w:rsidRPr="003D45B0" w:rsidRDefault="00713E64" w:rsidP="0041053F">
            <w:pPr>
              <w:rPr>
                <w:i/>
                <w:sz w:val="24"/>
              </w:rPr>
            </w:pPr>
          </w:p>
        </w:tc>
      </w:tr>
      <w:tr w:rsidR="00713E64" w:rsidRPr="003D45B0" w:rsidTr="003D45B0">
        <w:tc>
          <w:tcPr>
            <w:tcW w:w="460" w:type="dxa"/>
          </w:tcPr>
          <w:p w:rsidR="00713E64" w:rsidRPr="003D45B0" w:rsidRDefault="00C66005" w:rsidP="0041053F">
            <w:pPr>
              <w:rPr>
                <w:sz w:val="24"/>
              </w:rPr>
            </w:pPr>
            <w:r>
              <w:rPr>
                <w:sz w:val="24"/>
              </w:rPr>
              <w:t>40</w:t>
            </w:r>
          </w:p>
        </w:tc>
        <w:tc>
          <w:tcPr>
            <w:tcW w:w="9463" w:type="dxa"/>
          </w:tcPr>
          <w:p w:rsidR="00713E64" w:rsidRPr="003D45B0" w:rsidRDefault="00713E64" w:rsidP="0041053F">
            <w:pPr>
              <w:rPr>
                <w:i/>
                <w:sz w:val="24"/>
              </w:rPr>
            </w:pPr>
            <w:r w:rsidRPr="003D45B0">
              <w:rPr>
                <w:b/>
                <w:sz w:val="24"/>
                <w:lang w:val="en-GB"/>
              </w:rPr>
              <w:t>Hospital pharmacists should support and implement systems that allow traceability of all medicines dispensed by the pharmacy.</w:t>
            </w:r>
          </w:p>
        </w:tc>
      </w:tr>
      <w:tr w:rsidR="00713E64" w:rsidRPr="003D45B0" w:rsidTr="003D45B0">
        <w:tc>
          <w:tcPr>
            <w:tcW w:w="460" w:type="dxa"/>
          </w:tcPr>
          <w:p w:rsidR="00713E64" w:rsidRPr="003D45B0" w:rsidRDefault="00713E64" w:rsidP="0041053F">
            <w:pPr>
              <w:rPr>
                <w:sz w:val="24"/>
              </w:rPr>
            </w:pPr>
          </w:p>
        </w:tc>
        <w:tc>
          <w:tcPr>
            <w:tcW w:w="9463" w:type="dxa"/>
          </w:tcPr>
          <w:p w:rsidR="00713E64" w:rsidRPr="003D45B0" w:rsidRDefault="00713E64" w:rsidP="0041053F">
            <w:pPr>
              <w:rPr>
                <w:i/>
                <w:sz w:val="24"/>
              </w:rPr>
            </w:pPr>
          </w:p>
        </w:tc>
      </w:tr>
      <w:tr w:rsidR="00713E64" w:rsidRPr="003D45B0" w:rsidTr="003D45B0">
        <w:tc>
          <w:tcPr>
            <w:tcW w:w="460" w:type="dxa"/>
          </w:tcPr>
          <w:p w:rsidR="00713E64" w:rsidRPr="003D45B0" w:rsidRDefault="00C66005" w:rsidP="0041053F">
            <w:pPr>
              <w:rPr>
                <w:sz w:val="24"/>
              </w:rPr>
            </w:pPr>
            <w:r>
              <w:rPr>
                <w:sz w:val="24"/>
              </w:rPr>
              <w:t>41</w:t>
            </w:r>
          </w:p>
        </w:tc>
        <w:tc>
          <w:tcPr>
            <w:tcW w:w="9463" w:type="dxa"/>
          </w:tcPr>
          <w:p w:rsidR="00713E64" w:rsidRPr="003D45B0" w:rsidRDefault="00713E64" w:rsidP="0041053F">
            <w:pPr>
              <w:rPr>
                <w:i/>
                <w:sz w:val="24"/>
              </w:rPr>
            </w:pPr>
            <w:r w:rsidRPr="003D45B0">
              <w:rPr>
                <w:b/>
                <w:sz w:val="24"/>
                <w:lang w:val="en-GB"/>
              </w:rPr>
              <w:t>Hospital pharmacists should ensure that the information resources needed by other healthcare professionals and patients for safe medicines use, preparation, dispensing and administration are accessible at the point of care.</w:t>
            </w:r>
          </w:p>
        </w:tc>
      </w:tr>
    </w:tbl>
    <w:p w:rsidR="00713E64" w:rsidRPr="003D45B0" w:rsidRDefault="003D45B0" w:rsidP="00713E64">
      <w:pPr>
        <w:pStyle w:val="Heading1"/>
        <w:rPr>
          <w:color w:val="4F6228" w:themeColor="accent3" w:themeShade="80"/>
          <w:sz w:val="32"/>
        </w:rPr>
      </w:pPr>
      <w:r w:rsidRPr="003D45B0">
        <w:rPr>
          <w:color w:val="4F6228" w:themeColor="accent3" w:themeShade="80"/>
          <w:sz w:val="32"/>
        </w:rPr>
        <w:lastRenderedPageBreak/>
        <w:t>S</w:t>
      </w:r>
      <w:r w:rsidR="00713E64" w:rsidRPr="003D45B0">
        <w:rPr>
          <w:color w:val="4F6228" w:themeColor="accent3" w:themeShade="80"/>
          <w:sz w:val="32"/>
        </w:rPr>
        <w:t>ection 6: Education and Research</w:t>
      </w:r>
    </w:p>
    <w:p w:rsidR="00713E64" w:rsidRPr="003D45B0" w:rsidRDefault="00713E64" w:rsidP="00713E64">
      <w:pPr>
        <w:rPr>
          <w:sz w:val="24"/>
        </w:rPr>
      </w:pPr>
    </w:p>
    <w:tbl>
      <w:tblPr>
        <w:tblStyle w:val="TableGrid"/>
        <w:tblW w:w="10206" w:type="dxa"/>
        <w:tblInd w:w="-459" w:type="dxa"/>
        <w:tblLook w:val="04A0" w:firstRow="1" w:lastRow="0" w:firstColumn="1" w:lastColumn="0" w:noHBand="0" w:noVBand="1"/>
      </w:tblPr>
      <w:tblGrid>
        <w:gridCol w:w="460"/>
        <w:gridCol w:w="9746"/>
      </w:tblGrid>
      <w:tr w:rsidR="00713E64" w:rsidRPr="003D45B0" w:rsidTr="00C66005">
        <w:tc>
          <w:tcPr>
            <w:tcW w:w="460" w:type="dxa"/>
          </w:tcPr>
          <w:p w:rsidR="00713E64" w:rsidRPr="003D45B0" w:rsidRDefault="00C66005" w:rsidP="0041053F">
            <w:pPr>
              <w:rPr>
                <w:sz w:val="24"/>
              </w:rPr>
            </w:pPr>
            <w:r>
              <w:rPr>
                <w:sz w:val="24"/>
              </w:rPr>
              <w:t>42</w:t>
            </w:r>
          </w:p>
        </w:tc>
        <w:tc>
          <w:tcPr>
            <w:tcW w:w="9746" w:type="dxa"/>
          </w:tcPr>
          <w:p w:rsidR="00713E64" w:rsidRPr="003D45B0" w:rsidRDefault="00713E64" w:rsidP="0041053F">
            <w:pPr>
              <w:rPr>
                <w:sz w:val="24"/>
              </w:rPr>
            </w:pPr>
            <w:r w:rsidRPr="003D45B0">
              <w:rPr>
                <w:b/>
                <w:sz w:val="24"/>
                <w:lang w:val="en-GB"/>
              </w:rPr>
              <w:t>Undergraduate pharmacy curricula should include an introduction to hospital pharmacy practice. The role of hospital pharmacists should be promoted in the curricula of other health professionals.</w:t>
            </w:r>
          </w:p>
        </w:tc>
      </w:tr>
      <w:tr w:rsidR="00713E64" w:rsidRPr="003D45B0" w:rsidTr="00C66005">
        <w:tc>
          <w:tcPr>
            <w:tcW w:w="460" w:type="dxa"/>
          </w:tcPr>
          <w:p w:rsidR="00713E64" w:rsidRPr="003D45B0" w:rsidRDefault="00713E64" w:rsidP="0041053F">
            <w:pPr>
              <w:rPr>
                <w:sz w:val="24"/>
              </w:rPr>
            </w:pPr>
          </w:p>
        </w:tc>
        <w:tc>
          <w:tcPr>
            <w:tcW w:w="9746" w:type="dxa"/>
          </w:tcPr>
          <w:p w:rsidR="00713E64" w:rsidRPr="003D45B0" w:rsidRDefault="00713E64" w:rsidP="0041053F">
            <w:pPr>
              <w:rPr>
                <w:i/>
                <w:sz w:val="24"/>
              </w:rPr>
            </w:pPr>
          </w:p>
        </w:tc>
      </w:tr>
      <w:tr w:rsidR="00713E64" w:rsidRPr="003D45B0" w:rsidTr="00C66005">
        <w:tc>
          <w:tcPr>
            <w:tcW w:w="460" w:type="dxa"/>
          </w:tcPr>
          <w:p w:rsidR="00713E64" w:rsidRPr="003D45B0" w:rsidRDefault="00C66005" w:rsidP="0041053F">
            <w:pPr>
              <w:rPr>
                <w:sz w:val="24"/>
              </w:rPr>
            </w:pPr>
            <w:r>
              <w:rPr>
                <w:sz w:val="24"/>
              </w:rPr>
              <w:t>43</w:t>
            </w:r>
          </w:p>
        </w:tc>
        <w:tc>
          <w:tcPr>
            <w:tcW w:w="9746" w:type="dxa"/>
          </w:tcPr>
          <w:p w:rsidR="00713E64" w:rsidRPr="003D45B0" w:rsidRDefault="00713E64" w:rsidP="0041053F">
            <w:pPr>
              <w:rPr>
                <w:sz w:val="24"/>
              </w:rPr>
            </w:pPr>
            <w:r w:rsidRPr="003D45B0">
              <w:rPr>
                <w:b/>
                <w:sz w:val="24"/>
                <w:lang w:val="en-GB"/>
              </w:rPr>
              <w:t>Post graduate education in the hospital setting, with a final assessment of individual competency is essential to ensure that where pharmacists are providing hospital pharmacy services, patients benefit from the highest levels of expertise.</w:t>
            </w:r>
          </w:p>
        </w:tc>
      </w:tr>
      <w:tr w:rsidR="00713E64" w:rsidRPr="003D45B0" w:rsidTr="00C66005">
        <w:tc>
          <w:tcPr>
            <w:tcW w:w="460" w:type="dxa"/>
          </w:tcPr>
          <w:p w:rsidR="00713E64" w:rsidRPr="003D45B0" w:rsidRDefault="00713E64" w:rsidP="0041053F">
            <w:pPr>
              <w:rPr>
                <w:sz w:val="24"/>
              </w:rPr>
            </w:pPr>
          </w:p>
        </w:tc>
        <w:tc>
          <w:tcPr>
            <w:tcW w:w="9746" w:type="dxa"/>
          </w:tcPr>
          <w:p w:rsidR="00713E64" w:rsidRPr="003D45B0" w:rsidRDefault="00713E64" w:rsidP="0041053F">
            <w:pPr>
              <w:rPr>
                <w:i/>
                <w:sz w:val="24"/>
              </w:rPr>
            </w:pPr>
          </w:p>
        </w:tc>
      </w:tr>
      <w:tr w:rsidR="00713E64" w:rsidRPr="003D45B0" w:rsidTr="00C66005">
        <w:tc>
          <w:tcPr>
            <w:tcW w:w="460" w:type="dxa"/>
          </w:tcPr>
          <w:p w:rsidR="00713E64" w:rsidRPr="003D45B0" w:rsidRDefault="00C66005" w:rsidP="0041053F">
            <w:pPr>
              <w:rPr>
                <w:sz w:val="24"/>
              </w:rPr>
            </w:pPr>
            <w:r>
              <w:rPr>
                <w:sz w:val="24"/>
              </w:rPr>
              <w:t>44</w:t>
            </w:r>
          </w:p>
        </w:tc>
        <w:tc>
          <w:tcPr>
            <w:tcW w:w="9746" w:type="dxa"/>
          </w:tcPr>
          <w:p w:rsidR="00713E64" w:rsidRPr="003D45B0" w:rsidRDefault="00713E64" w:rsidP="0041053F">
            <w:pPr>
              <w:rPr>
                <w:b/>
                <w:sz w:val="24"/>
                <w:lang w:val="en-GB"/>
              </w:rPr>
            </w:pPr>
            <w:r w:rsidRPr="003D45B0">
              <w:rPr>
                <w:b/>
                <w:sz w:val="24"/>
                <w:lang w:val="en-GB"/>
              </w:rPr>
              <w:t>Hospitals should use a European accepted competency framework to assess individual human resource training needs and performance of hospital pharmacists. This should be defined and used regularly to assess all candidates and should include Continuous Professional Development (CPD).</w:t>
            </w:r>
          </w:p>
        </w:tc>
      </w:tr>
      <w:tr w:rsidR="00713E64" w:rsidRPr="003D45B0" w:rsidTr="00C66005">
        <w:tc>
          <w:tcPr>
            <w:tcW w:w="460" w:type="dxa"/>
          </w:tcPr>
          <w:p w:rsidR="00713E64" w:rsidRPr="003D45B0" w:rsidRDefault="00713E64" w:rsidP="0041053F">
            <w:pPr>
              <w:rPr>
                <w:sz w:val="24"/>
              </w:rPr>
            </w:pPr>
          </w:p>
        </w:tc>
        <w:tc>
          <w:tcPr>
            <w:tcW w:w="9746" w:type="dxa"/>
          </w:tcPr>
          <w:p w:rsidR="00713E64" w:rsidRPr="003D45B0" w:rsidRDefault="00713E64" w:rsidP="0041053F">
            <w:pPr>
              <w:rPr>
                <w:i/>
                <w:sz w:val="24"/>
              </w:rPr>
            </w:pPr>
          </w:p>
        </w:tc>
      </w:tr>
      <w:tr w:rsidR="00713E64" w:rsidRPr="003D45B0" w:rsidTr="00C66005">
        <w:tc>
          <w:tcPr>
            <w:tcW w:w="460" w:type="dxa"/>
          </w:tcPr>
          <w:p w:rsidR="00713E64" w:rsidRPr="003D45B0" w:rsidRDefault="00C66005" w:rsidP="0041053F">
            <w:pPr>
              <w:rPr>
                <w:sz w:val="24"/>
              </w:rPr>
            </w:pPr>
            <w:r>
              <w:rPr>
                <w:sz w:val="24"/>
              </w:rPr>
              <w:t>45</w:t>
            </w:r>
          </w:p>
        </w:tc>
        <w:tc>
          <w:tcPr>
            <w:tcW w:w="9746" w:type="dxa"/>
          </w:tcPr>
          <w:p w:rsidR="00713E64" w:rsidRPr="003D45B0" w:rsidRDefault="00713E64" w:rsidP="0041053F">
            <w:pPr>
              <w:rPr>
                <w:b/>
                <w:sz w:val="24"/>
                <w:lang w:val="en-GB"/>
              </w:rPr>
            </w:pPr>
            <w:r w:rsidRPr="003D45B0">
              <w:rPr>
                <w:b/>
                <w:sz w:val="24"/>
                <w:lang w:val="en-GB"/>
              </w:rPr>
              <w:t>The training of all other staff involved in medication use processes should be nationally formalised, harmonised, including the details of defined competencies for the attainment of defined scope of practice.</w:t>
            </w:r>
          </w:p>
        </w:tc>
      </w:tr>
      <w:tr w:rsidR="00713E64" w:rsidRPr="003D45B0" w:rsidTr="00C66005">
        <w:tc>
          <w:tcPr>
            <w:tcW w:w="460" w:type="dxa"/>
          </w:tcPr>
          <w:p w:rsidR="00713E64" w:rsidRPr="003D45B0" w:rsidRDefault="00713E64" w:rsidP="0041053F">
            <w:pPr>
              <w:rPr>
                <w:sz w:val="24"/>
              </w:rPr>
            </w:pPr>
          </w:p>
        </w:tc>
        <w:tc>
          <w:tcPr>
            <w:tcW w:w="9746" w:type="dxa"/>
          </w:tcPr>
          <w:p w:rsidR="00713E64" w:rsidRPr="003D45B0" w:rsidRDefault="00713E64" w:rsidP="0041053F">
            <w:pPr>
              <w:rPr>
                <w:i/>
                <w:sz w:val="24"/>
              </w:rPr>
            </w:pPr>
          </w:p>
        </w:tc>
      </w:tr>
      <w:tr w:rsidR="00713E64" w:rsidRPr="003D45B0" w:rsidTr="00C66005">
        <w:tc>
          <w:tcPr>
            <w:tcW w:w="460" w:type="dxa"/>
          </w:tcPr>
          <w:p w:rsidR="00713E64" w:rsidRPr="003D45B0" w:rsidRDefault="00C66005" w:rsidP="0041053F">
            <w:pPr>
              <w:rPr>
                <w:sz w:val="24"/>
              </w:rPr>
            </w:pPr>
            <w:r>
              <w:rPr>
                <w:sz w:val="24"/>
              </w:rPr>
              <w:t>46</w:t>
            </w:r>
          </w:p>
        </w:tc>
        <w:tc>
          <w:tcPr>
            <w:tcW w:w="9746" w:type="dxa"/>
          </w:tcPr>
          <w:p w:rsidR="00713E64" w:rsidRPr="003D45B0" w:rsidRDefault="00713E64" w:rsidP="0041053F">
            <w:pPr>
              <w:rPr>
                <w:b/>
                <w:sz w:val="24"/>
                <w:lang w:val="en-GB"/>
              </w:rPr>
            </w:pPr>
            <w:r w:rsidRPr="003D45B0">
              <w:rPr>
                <w:b/>
                <w:sz w:val="24"/>
                <w:lang w:val="en-GB"/>
              </w:rPr>
              <w:t>Hospital pharmacists should provide orientation and education to healthcare providers regarding best practices for medicine use for patients.</w:t>
            </w:r>
          </w:p>
        </w:tc>
      </w:tr>
      <w:tr w:rsidR="00713E64" w:rsidRPr="003D45B0" w:rsidTr="00C66005">
        <w:tc>
          <w:tcPr>
            <w:tcW w:w="460" w:type="dxa"/>
          </w:tcPr>
          <w:p w:rsidR="00713E64" w:rsidRPr="003D45B0" w:rsidRDefault="00713E64" w:rsidP="0041053F">
            <w:pPr>
              <w:rPr>
                <w:sz w:val="24"/>
              </w:rPr>
            </w:pPr>
          </w:p>
        </w:tc>
        <w:tc>
          <w:tcPr>
            <w:tcW w:w="9746" w:type="dxa"/>
          </w:tcPr>
          <w:p w:rsidR="00713E64" w:rsidRPr="003D45B0" w:rsidRDefault="00713E64" w:rsidP="0041053F">
            <w:pPr>
              <w:rPr>
                <w:i/>
                <w:sz w:val="24"/>
              </w:rPr>
            </w:pPr>
          </w:p>
        </w:tc>
      </w:tr>
      <w:tr w:rsidR="00713E64" w:rsidRPr="003D45B0" w:rsidTr="00C66005">
        <w:tc>
          <w:tcPr>
            <w:tcW w:w="460" w:type="dxa"/>
          </w:tcPr>
          <w:p w:rsidR="00713E64" w:rsidRPr="003D45B0" w:rsidRDefault="00C66005" w:rsidP="0041053F">
            <w:pPr>
              <w:rPr>
                <w:sz w:val="24"/>
              </w:rPr>
            </w:pPr>
            <w:r>
              <w:rPr>
                <w:sz w:val="24"/>
              </w:rPr>
              <w:t>47</w:t>
            </w:r>
          </w:p>
        </w:tc>
        <w:tc>
          <w:tcPr>
            <w:tcW w:w="9746" w:type="dxa"/>
          </w:tcPr>
          <w:p w:rsidR="00713E64" w:rsidRPr="003D45B0" w:rsidRDefault="00713E64" w:rsidP="0041053F">
            <w:pPr>
              <w:rPr>
                <w:b/>
                <w:sz w:val="24"/>
                <w:lang w:val="en-GB"/>
              </w:rPr>
            </w:pPr>
            <w:r w:rsidRPr="003D45B0">
              <w:rPr>
                <w:b/>
                <w:sz w:val="24"/>
                <w:lang w:val="en-GB"/>
              </w:rPr>
              <w:t xml:space="preserve">Hospital pharmacists should actively engage in research into improving and creating new methods and systems to optimise the use of medicines for the benefits of patients. </w:t>
            </w:r>
            <w:r w:rsidRPr="003D45B0">
              <w:rPr>
                <w:rFonts w:cs="Arial"/>
                <w:b/>
                <w:iCs/>
                <w:sz w:val="24"/>
                <w:lang w:val="en-GB"/>
              </w:rPr>
              <w:t>Research methods should be part of postgraduate training programmes for hospital pharmacists.</w:t>
            </w:r>
          </w:p>
        </w:tc>
      </w:tr>
      <w:tr w:rsidR="00713E64" w:rsidRPr="003D45B0" w:rsidTr="00C66005">
        <w:tc>
          <w:tcPr>
            <w:tcW w:w="460" w:type="dxa"/>
          </w:tcPr>
          <w:p w:rsidR="00713E64" w:rsidRPr="003D45B0" w:rsidRDefault="00713E64" w:rsidP="0041053F">
            <w:pPr>
              <w:rPr>
                <w:sz w:val="24"/>
              </w:rPr>
            </w:pPr>
          </w:p>
        </w:tc>
        <w:tc>
          <w:tcPr>
            <w:tcW w:w="9746" w:type="dxa"/>
          </w:tcPr>
          <w:p w:rsidR="00713E64" w:rsidRPr="003D45B0" w:rsidRDefault="00713E64" w:rsidP="0041053F">
            <w:pPr>
              <w:rPr>
                <w:i/>
                <w:sz w:val="24"/>
              </w:rPr>
            </w:pPr>
          </w:p>
        </w:tc>
      </w:tr>
      <w:tr w:rsidR="00713E64" w:rsidRPr="003D45B0" w:rsidTr="00C66005">
        <w:tc>
          <w:tcPr>
            <w:tcW w:w="460" w:type="dxa"/>
          </w:tcPr>
          <w:p w:rsidR="00713E64" w:rsidRPr="003D45B0" w:rsidRDefault="00C66005" w:rsidP="0041053F">
            <w:pPr>
              <w:rPr>
                <w:sz w:val="24"/>
              </w:rPr>
            </w:pPr>
            <w:r>
              <w:rPr>
                <w:sz w:val="24"/>
              </w:rPr>
              <w:t>48</w:t>
            </w:r>
          </w:p>
        </w:tc>
        <w:tc>
          <w:tcPr>
            <w:tcW w:w="9746" w:type="dxa"/>
          </w:tcPr>
          <w:p w:rsidR="00713E64" w:rsidRPr="003D45B0" w:rsidRDefault="00713E64" w:rsidP="0041053F">
            <w:pPr>
              <w:rPr>
                <w:b/>
                <w:sz w:val="24"/>
                <w:lang w:val="en-GB"/>
              </w:rPr>
            </w:pPr>
            <w:r w:rsidRPr="003D45B0">
              <w:rPr>
                <w:b/>
                <w:sz w:val="24"/>
                <w:lang w:val="en-GB"/>
              </w:rPr>
              <w:t>Hospital pharmacists should be actively involved in the management and medicine use processes relating to clinical trials.</w:t>
            </w:r>
          </w:p>
        </w:tc>
      </w:tr>
      <w:tr w:rsidR="00713E64" w:rsidRPr="003D45B0" w:rsidTr="00C66005">
        <w:tc>
          <w:tcPr>
            <w:tcW w:w="460" w:type="dxa"/>
          </w:tcPr>
          <w:p w:rsidR="00713E64" w:rsidRPr="003D45B0" w:rsidRDefault="00713E64" w:rsidP="0041053F">
            <w:pPr>
              <w:rPr>
                <w:sz w:val="24"/>
              </w:rPr>
            </w:pPr>
          </w:p>
        </w:tc>
        <w:tc>
          <w:tcPr>
            <w:tcW w:w="9746" w:type="dxa"/>
          </w:tcPr>
          <w:p w:rsidR="00713E64" w:rsidRPr="003D45B0" w:rsidRDefault="00713E64" w:rsidP="0041053F">
            <w:pPr>
              <w:rPr>
                <w:i/>
                <w:sz w:val="24"/>
              </w:rPr>
            </w:pPr>
          </w:p>
        </w:tc>
      </w:tr>
    </w:tbl>
    <w:p w:rsidR="00713E64" w:rsidRPr="003D45B0" w:rsidRDefault="00713E64" w:rsidP="00AB563A">
      <w:pPr>
        <w:rPr>
          <w:sz w:val="24"/>
        </w:rPr>
      </w:pPr>
      <w:bookmarkStart w:id="0" w:name="_GoBack"/>
      <w:bookmarkEnd w:id="0"/>
    </w:p>
    <w:p w:rsidR="002E05C2" w:rsidRPr="003D45B0" w:rsidRDefault="002E05C2" w:rsidP="00AB563A">
      <w:pPr>
        <w:rPr>
          <w:sz w:val="24"/>
        </w:rPr>
      </w:pPr>
    </w:p>
    <w:p w:rsidR="002E05C2" w:rsidRPr="003D45B0" w:rsidRDefault="002E05C2" w:rsidP="00AB563A">
      <w:pPr>
        <w:rPr>
          <w:sz w:val="24"/>
        </w:rPr>
      </w:pPr>
    </w:p>
    <w:p w:rsidR="002E05C2" w:rsidRPr="003D45B0" w:rsidRDefault="002E05C2" w:rsidP="00AB563A">
      <w:pPr>
        <w:rPr>
          <w:sz w:val="24"/>
        </w:rPr>
      </w:pPr>
    </w:p>
    <w:p w:rsidR="002E05C2" w:rsidRPr="003D45B0" w:rsidRDefault="002E05C2" w:rsidP="00AB563A">
      <w:pPr>
        <w:rPr>
          <w:sz w:val="24"/>
        </w:rPr>
      </w:pPr>
    </w:p>
    <w:p w:rsidR="002E05C2" w:rsidRPr="003D45B0" w:rsidRDefault="002E05C2" w:rsidP="00AB563A">
      <w:pPr>
        <w:rPr>
          <w:sz w:val="24"/>
        </w:rPr>
      </w:pPr>
    </w:p>
    <w:sectPr w:rsidR="002E05C2" w:rsidRPr="003D45B0" w:rsidSect="00420850">
      <w:pgSz w:w="12240" w:h="15840"/>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DC"/>
    <w:rsid w:val="002E05C2"/>
    <w:rsid w:val="002F466B"/>
    <w:rsid w:val="003D45B0"/>
    <w:rsid w:val="00420850"/>
    <w:rsid w:val="004307BA"/>
    <w:rsid w:val="004B5877"/>
    <w:rsid w:val="004B6DC5"/>
    <w:rsid w:val="00713E64"/>
    <w:rsid w:val="00856DDC"/>
    <w:rsid w:val="00AA06F4"/>
    <w:rsid w:val="00AB563A"/>
    <w:rsid w:val="00BC2CF4"/>
    <w:rsid w:val="00BE1AFA"/>
    <w:rsid w:val="00C66005"/>
    <w:rsid w:val="00E32886"/>
    <w:rsid w:val="00E80E31"/>
    <w:rsid w:val="00F24FD0"/>
    <w:rsid w:val="00FD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05"/>
  </w:style>
  <w:style w:type="paragraph" w:styleId="Heading1">
    <w:name w:val="heading 1"/>
    <w:basedOn w:val="Normal"/>
    <w:next w:val="Normal"/>
    <w:link w:val="Heading1Char"/>
    <w:uiPriority w:val="9"/>
    <w:qFormat/>
    <w:rsid w:val="00AB5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DC"/>
    <w:rPr>
      <w:rFonts w:ascii="Tahoma" w:hAnsi="Tahoma" w:cs="Tahoma"/>
      <w:sz w:val="16"/>
      <w:szCs w:val="16"/>
    </w:rPr>
  </w:style>
  <w:style w:type="character" w:styleId="Hyperlink">
    <w:name w:val="Hyperlink"/>
    <w:basedOn w:val="DefaultParagraphFont"/>
    <w:uiPriority w:val="99"/>
    <w:unhideWhenUsed/>
    <w:rsid w:val="00856DDC"/>
    <w:rPr>
      <w:color w:val="0000FF" w:themeColor="hyperlink"/>
      <w:u w:val="single"/>
    </w:rPr>
  </w:style>
  <w:style w:type="character" w:customStyle="1" w:styleId="Heading1Char">
    <w:name w:val="Heading 1 Char"/>
    <w:basedOn w:val="DefaultParagraphFont"/>
    <w:link w:val="Heading1"/>
    <w:uiPriority w:val="9"/>
    <w:rsid w:val="00AB56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B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5877"/>
    <w:rPr>
      <w:b/>
      <w:bCs/>
    </w:rPr>
  </w:style>
  <w:style w:type="character" w:styleId="FollowedHyperlink">
    <w:name w:val="FollowedHyperlink"/>
    <w:basedOn w:val="DefaultParagraphFont"/>
    <w:uiPriority w:val="99"/>
    <w:semiHidden/>
    <w:unhideWhenUsed/>
    <w:rsid w:val="00FD04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05"/>
  </w:style>
  <w:style w:type="paragraph" w:styleId="Heading1">
    <w:name w:val="heading 1"/>
    <w:basedOn w:val="Normal"/>
    <w:next w:val="Normal"/>
    <w:link w:val="Heading1Char"/>
    <w:uiPriority w:val="9"/>
    <w:qFormat/>
    <w:rsid w:val="00AB5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DC"/>
    <w:rPr>
      <w:rFonts w:ascii="Tahoma" w:hAnsi="Tahoma" w:cs="Tahoma"/>
      <w:sz w:val="16"/>
      <w:szCs w:val="16"/>
    </w:rPr>
  </w:style>
  <w:style w:type="character" w:styleId="Hyperlink">
    <w:name w:val="Hyperlink"/>
    <w:basedOn w:val="DefaultParagraphFont"/>
    <w:uiPriority w:val="99"/>
    <w:unhideWhenUsed/>
    <w:rsid w:val="00856DDC"/>
    <w:rPr>
      <w:color w:val="0000FF" w:themeColor="hyperlink"/>
      <w:u w:val="single"/>
    </w:rPr>
  </w:style>
  <w:style w:type="character" w:customStyle="1" w:styleId="Heading1Char">
    <w:name w:val="Heading 1 Char"/>
    <w:basedOn w:val="DefaultParagraphFont"/>
    <w:link w:val="Heading1"/>
    <w:uiPriority w:val="9"/>
    <w:rsid w:val="00AB56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B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5877"/>
    <w:rPr>
      <w:b/>
      <w:bCs/>
    </w:rPr>
  </w:style>
  <w:style w:type="character" w:styleId="FollowedHyperlink">
    <w:name w:val="FollowedHyperlink"/>
    <w:basedOn w:val="DefaultParagraphFont"/>
    <w:uiPriority w:val="99"/>
    <w:semiHidden/>
    <w:unhideWhenUsed/>
    <w:rsid w:val="00FD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hp.eu/events/european-summit/summit-docu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p.org/baselstatem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Price</dc:creator>
  <cp:lastModifiedBy>David Preece</cp:lastModifiedBy>
  <cp:revision>2</cp:revision>
  <dcterms:created xsi:type="dcterms:W3CDTF">2013-11-22T13:54:00Z</dcterms:created>
  <dcterms:modified xsi:type="dcterms:W3CDTF">2013-11-22T13:54:00Z</dcterms:modified>
</cp:coreProperties>
</file>